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CB2F1" w14:textId="77777777" w:rsidR="00B419D3" w:rsidRDefault="00B419D3" w:rsidP="00B419D3">
      <w:pPr>
        <w:pStyle w:val="Titolo1"/>
        <w:jc w:val="right"/>
        <w:rPr>
          <w:sz w:val="24"/>
        </w:rPr>
      </w:pPr>
      <w:bookmarkStart w:id="0" w:name="_GoBack"/>
      <w:bookmarkEnd w:id="0"/>
      <w:r>
        <w:rPr>
          <w:sz w:val="24"/>
        </w:rPr>
        <w:t>Modello “B”</w:t>
      </w:r>
    </w:p>
    <w:p w14:paraId="5AC984EA" w14:textId="77777777" w:rsidR="00B419D3" w:rsidRDefault="00B419D3" w:rsidP="00B419D3"/>
    <w:p w14:paraId="7FFCFC24" w14:textId="77777777" w:rsidR="00B419D3" w:rsidRDefault="00B419D3" w:rsidP="00B419D3">
      <w:pPr>
        <w:tabs>
          <w:tab w:val="left" w:pos="5400"/>
        </w:tabs>
        <w:rPr>
          <w:rFonts w:ascii="Arial" w:hAnsi="Arial" w:cs="Arial"/>
        </w:rPr>
      </w:pPr>
      <w:r>
        <w:rPr>
          <w:rFonts w:ascii="Arial" w:hAnsi="Arial" w:cs="Arial"/>
        </w:rPr>
        <w:tab/>
      </w:r>
    </w:p>
    <w:p w14:paraId="2761E9F0" w14:textId="77777777" w:rsidR="00B419D3" w:rsidRPr="0081344E" w:rsidRDefault="00B419D3" w:rsidP="00B419D3">
      <w:pPr>
        <w:spacing w:line="276" w:lineRule="auto"/>
        <w:jc w:val="both"/>
        <w:rPr>
          <w:rFonts w:ascii="Arial" w:hAnsi="Arial" w:cs="Arial"/>
          <w:b/>
          <w:bCs/>
          <w:sz w:val="22"/>
        </w:rPr>
      </w:pPr>
      <w:r w:rsidRPr="00247CCF">
        <w:rPr>
          <w:rFonts w:ascii="Arial" w:hAnsi="Arial" w:cs="Arial"/>
          <w:b/>
          <w:bCs/>
          <w:sz w:val="22"/>
        </w:rPr>
        <w:t xml:space="preserve">MANIFESTAZIONE DI INTERESSE </w:t>
      </w:r>
      <w:bookmarkStart w:id="1" w:name="OLE_LINK6"/>
      <w:bookmarkStart w:id="2" w:name="OLE_LINK7"/>
      <w:bookmarkStart w:id="3" w:name="OLE_LINK8"/>
      <w:r w:rsidRPr="00D47F24">
        <w:rPr>
          <w:rFonts w:ascii="Arial" w:hAnsi="Arial" w:cs="Arial"/>
          <w:b/>
          <w:bCs/>
          <w:sz w:val="22"/>
        </w:rPr>
        <w:t xml:space="preserve">PER </w:t>
      </w:r>
      <w:bookmarkEnd w:id="1"/>
      <w:bookmarkEnd w:id="2"/>
      <w:bookmarkEnd w:id="3"/>
      <w:proofErr w:type="spellStart"/>
      <w:r>
        <w:rPr>
          <w:rFonts w:ascii="Arial" w:hAnsi="Arial" w:cs="Arial"/>
          <w:b/>
          <w:bCs/>
          <w:sz w:val="28"/>
        </w:rPr>
        <w:t>formazione</w:t>
      </w:r>
      <w:proofErr w:type="spellEnd"/>
      <w:r>
        <w:rPr>
          <w:rFonts w:ascii="Arial" w:hAnsi="Arial" w:cs="Arial"/>
          <w:b/>
          <w:bCs/>
          <w:sz w:val="28"/>
        </w:rPr>
        <w:t xml:space="preserve"> di un </w:t>
      </w:r>
      <w:proofErr w:type="spellStart"/>
      <w:r>
        <w:rPr>
          <w:rFonts w:ascii="Arial" w:hAnsi="Arial" w:cs="Arial"/>
          <w:b/>
          <w:bCs/>
          <w:sz w:val="28"/>
        </w:rPr>
        <w:t>elenco</w:t>
      </w:r>
      <w:proofErr w:type="spellEnd"/>
      <w:r>
        <w:rPr>
          <w:rFonts w:ascii="Arial" w:hAnsi="Arial" w:cs="Arial"/>
          <w:b/>
          <w:bCs/>
          <w:sz w:val="28"/>
        </w:rPr>
        <w:t xml:space="preserve"> </w:t>
      </w:r>
      <w:proofErr w:type="spellStart"/>
      <w:r>
        <w:rPr>
          <w:rFonts w:ascii="Arial" w:hAnsi="Arial" w:cs="Arial"/>
          <w:b/>
          <w:bCs/>
          <w:sz w:val="28"/>
        </w:rPr>
        <w:t>annuale</w:t>
      </w:r>
      <w:proofErr w:type="spellEnd"/>
      <w:r>
        <w:rPr>
          <w:rFonts w:ascii="Arial" w:hAnsi="Arial" w:cs="Arial"/>
          <w:b/>
          <w:bCs/>
          <w:sz w:val="28"/>
        </w:rPr>
        <w:t xml:space="preserve"> di </w:t>
      </w:r>
      <w:proofErr w:type="spellStart"/>
      <w:r>
        <w:rPr>
          <w:rFonts w:ascii="Arial" w:hAnsi="Arial" w:cs="Arial"/>
          <w:b/>
          <w:bCs/>
          <w:sz w:val="28"/>
        </w:rPr>
        <w:t>imprese</w:t>
      </w:r>
      <w:proofErr w:type="spellEnd"/>
      <w:r>
        <w:rPr>
          <w:rFonts w:ascii="Arial" w:hAnsi="Arial" w:cs="Arial"/>
          <w:b/>
          <w:bCs/>
          <w:sz w:val="28"/>
        </w:rPr>
        <w:t xml:space="preserve"> </w:t>
      </w:r>
      <w:proofErr w:type="spellStart"/>
      <w:r>
        <w:rPr>
          <w:rFonts w:ascii="Arial" w:hAnsi="Arial" w:cs="Arial"/>
          <w:b/>
          <w:bCs/>
          <w:sz w:val="28"/>
        </w:rPr>
        <w:t>edili</w:t>
      </w:r>
      <w:proofErr w:type="spellEnd"/>
      <w:r>
        <w:rPr>
          <w:rFonts w:ascii="Arial" w:hAnsi="Arial" w:cs="Arial"/>
          <w:b/>
          <w:bCs/>
          <w:sz w:val="28"/>
        </w:rPr>
        <w:t xml:space="preserve"> da </w:t>
      </w:r>
      <w:proofErr w:type="spellStart"/>
      <w:r>
        <w:rPr>
          <w:rFonts w:ascii="Arial" w:hAnsi="Arial" w:cs="Arial"/>
          <w:b/>
          <w:bCs/>
          <w:sz w:val="28"/>
        </w:rPr>
        <w:t>autorizzare</w:t>
      </w:r>
      <w:proofErr w:type="spellEnd"/>
      <w:r>
        <w:rPr>
          <w:rFonts w:ascii="Arial" w:hAnsi="Arial" w:cs="Arial"/>
          <w:b/>
          <w:bCs/>
          <w:sz w:val="28"/>
        </w:rPr>
        <w:t xml:space="preserve"> per </w:t>
      </w:r>
      <w:proofErr w:type="spellStart"/>
      <w:r>
        <w:rPr>
          <w:rFonts w:ascii="Arial" w:hAnsi="Arial" w:cs="Arial"/>
          <w:b/>
          <w:bCs/>
          <w:sz w:val="28"/>
        </w:rPr>
        <w:t>l’esecuzione</w:t>
      </w:r>
      <w:proofErr w:type="spellEnd"/>
      <w:r>
        <w:rPr>
          <w:rFonts w:ascii="Arial" w:hAnsi="Arial" w:cs="Arial"/>
          <w:b/>
          <w:bCs/>
          <w:sz w:val="28"/>
        </w:rPr>
        <w:t xml:space="preserve"> di </w:t>
      </w:r>
      <w:proofErr w:type="spellStart"/>
      <w:r>
        <w:rPr>
          <w:rFonts w:ascii="Arial" w:hAnsi="Arial" w:cs="Arial"/>
          <w:b/>
          <w:bCs/>
          <w:sz w:val="28"/>
        </w:rPr>
        <w:t>lavori</w:t>
      </w:r>
      <w:proofErr w:type="spellEnd"/>
      <w:r>
        <w:rPr>
          <w:rFonts w:ascii="Arial" w:hAnsi="Arial" w:cs="Arial"/>
          <w:b/>
          <w:bCs/>
          <w:sz w:val="28"/>
        </w:rPr>
        <w:t xml:space="preserve"> per </w:t>
      </w:r>
      <w:proofErr w:type="spellStart"/>
      <w:r>
        <w:rPr>
          <w:rFonts w:ascii="Arial" w:hAnsi="Arial" w:cs="Arial"/>
          <w:b/>
          <w:bCs/>
          <w:sz w:val="28"/>
        </w:rPr>
        <w:t>costruzione</w:t>
      </w:r>
      <w:proofErr w:type="spellEnd"/>
      <w:r>
        <w:rPr>
          <w:rFonts w:ascii="Arial" w:hAnsi="Arial" w:cs="Arial"/>
          <w:b/>
          <w:bCs/>
          <w:sz w:val="28"/>
        </w:rPr>
        <w:t xml:space="preserve"> di </w:t>
      </w:r>
      <w:proofErr w:type="spellStart"/>
      <w:r>
        <w:rPr>
          <w:rFonts w:ascii="Arial" w:hAnsi="Arial" w:cs="Arial"/>
          <w:b/>
          <w:bCs/>
          <w:sz w:val="28"/>
        </w:rPr>
        <w:t>edicole</w:t>
      </w:r>
      <w:proofErr w:type="spellEnd"/>
      <w:r>
        <w:rPr>
          <w:rFonts w:ascii="Arial" w:hAnsi="Arial" w:cs="Arial"/>
          <w:b/>
          <w:bCs/>
          <w:sz w:val="28"/>
        </w:rPr>
        <w:t xml:space="preserve"> </w:t>
      </w:r>
      <w:proofErr w:type="spellStart"/>
      <w:r>
        <w:rPr>
          <w:rFonts w:ascii="Arial" w:hAnsi="Arial" w:cs="Arial"/>
          <w:b/>
          <w:bCs/>
          <w:sz w:val="28"/>
        </w:rPr>
        <w:t>funerarie</w:t>
      </w:r>
      <w:proofErr w:type="spellEnd"/>
      <w:r>
        <w:rPr>
          <w:rFonts w:ascii="Arial" w:hAnsi="Arial" w:cs="Arial"/>
          <w:b/>
          <w:bCs/>
          <w:sz w:val="28"/>
        </w:rPr>
        <w:t xml:space="preserve">, </w:t>
      </w:r>
      <w:proofErr w:type="spellStart"/>
      <w:r>
        <w:rPr>
          <w:rFonts w:ascii="Arial" w:hAnsi="Arial" w:cs="Arial"/>
          <w:b/>
          <w:bCs/>
          <w:sz w:val="28"/>
        </w:rPr>
        <w:t>loculi</w:t>
      </w:r>
      <w:proofErr w:type="spellEnd"/>
      <w:proofErr w:type="gramStart"/>
      <w:r>
        <w:rPr>
          <w:rFonts w:ascii="Arial" w:hAnsi="Arial" w:cs="Arial"/>
          <w:b/>
          <w:bCs/>
          <w:sz w:val="28"/>
        </w:rPr>
        <w:t xml:space="preserve">,  </w:t>
      </w:r>
      <w:proofErr w:type="spellStart"/>
      <w:r>
        <w:rPr>
          <w:rFonts w:ascii="Arial" w:hAnsi="Arial" w:cs="Arial"/>
          <w:b/>
          <w:bCs/>
          <w:sz w:val="28"/>
        </w:rPr>
        <w:t>manutenzione</w:t>
      </w:r>
      <w:proofErr w:type="spellEnd"/>
      <w:proofErr w:type="gramEnd"/>
      <w:r>
        <w:rPr>
          <w:rFonts w:ascii="Arial" w:hAnsi="Arial" w:cs="Arial"/>
          <w:b/>
          <w:bCs/>
          <w:sz w:val="28"/>
        </w:rPr>
        <w:t xml:space="preserve"> </w:t>
      </w:r>
      <w:proofErr w:type="spellStart"/>
      <w:r>
        <w:rPr>
          <w:rFonts w:ascii="Arial" w:hAnsi="Arial" w:cs="Arial"/>
          <w:b/>
          <w:bCs/>
          <w:sz w:val="28"/>
        </w:rPr>
        <w:t>ordinarie</w:t>
      </w:r>
      <w:proofErr w:type="spellEnd"/>
      <w:r>
        <w:rPr>
          <w:rFonts w:ascii="Arial" w:hAnsi="Arial" w:cs="Arial"/>
          <w:b/>
          <w:bCs/>
          <w:sz w:val="28"/>
        </w:rPr>
        <w:t xml:space="preserve"> e </w:t>
      </w:r>
      <w:proofErr w:type="spellStart"/>
      <w:r>
        <w:rPr>
          <w:rFonts w:ascii="Arial" w:hAnsi="Arial" w:cs="Arial"/>
          <w:b/>
          <w:bCs/>
          <w:sz w:val="28"/>
        </w:rPr>
        <w:t>straordinarie</w:t>
      </w:r>
      <w:proofErr w:type="spellEnd"/>
      <w:r>
        <w:rPr>
          <w:rFonts w:ascii="Arial" w:hAnsi="Arial" w:cs="Arial"/>
          <w:b/>
          <w:bCs/>
          <w:sz w:val="28"/>
        </w:rPr>
        <w:t xml:space="preserve"> </w:t>
      </w:r>
      <w:proofErr w:type="spellStart"/>
      <w:r>
        <w:rPr>
          <w:rFonts w:ascii="Arial" w:hAnsi="Arial" w:cs="Arial"/>
          <w:b/>
          <w:bCs/>
          <w:sz w:val="28"/>
        </w:rPr>
        <w:t>all’interno</w:t>
      </w:r>
      <w:proofErr w:type="spellEnd"/>
      <w:r>
        <w:rPr>
          <w:rFonts w:ascii="Arial" w:hAnsi="Arial" w:cs="Arial"/>
          <w:b/>
          <w:bCs/>
          <w:sz w:val="28"/>
        </w:rPr>
        <w:t xml:space="preserve"> del </w:t>
      </w:r>
      <w:proofErr w:type="spellStart"/>
      <w:r>
        <w:rPr>
          <w:rFonts w:ascii="Arial" w:hAnsi="Arial" w:cs="Arial"/>
          <w:b/>
          <w:bCs/>
          <w:sz w:val="28"/>
        </w:rPr>
        <w:t>cimitero</w:t>
      </w:r>
      <w:proofErr w:type="spellEnd"/>
      <w:r>
        <w:rPr>
          <w:rFonts w:ascii="Arial" w:hAnsi="Arial" w:cs="Arial"/>
          <w:b/>
          <w:bCs/>
          <w:sz w:val="28"/>
        </w:rPr>
        <w:t xml:space="preserve"> </w:t>
      </w:r>
      <w:proofErr w:type="spellStart"/>
      <w:r>
        <w:rPr>
          <w:rFonts w:ascii="Arial" w:hAnsi="Arial" w:cs="Arial"/>
          <w:b/>
          <w:bCs/>
          <w:sz w:val="28"/>
        </w:rPr>
        <w:t>comunale</w:t>
      </w:r>
      <w:proofErr w:type="spellEnd"/>
    </w:p>
    <w:p w14:paraId="01FCDE14" w14:textId="77777777" w:rsidR="00B419D3" w:rsidRDefault="00B419D3">
      <w:pPr>
        <w:pStyle w:val="Default"/>
        <w:jc w:val="center"/>
        <w:rPr>
          <w:rFonts w:ascii="Calibri" w:hAnsi="Calibri" w:cs="Times New Roman"/>
          <w:b/>
          <w:bCs/>
        </w:rPr>
      </w:pPr>
    </w:p>
    <w:p w14:paraId="27CA2AE7" w14:textId="77777777" w:rsidR="00B419D3" w:rsidRDefault="00B419D3">
      <w:pPr>
        <w:pStyle w:val="Default"/>
        <w:jc w:val="center"/>
        <w:rPr>
          <w:rFonts w:ascii="Calibri" w:hAnsi="Calibri" w:cs="Times New Roman"/>
          <w:b/>
          <w:bCs/>
        </w:rPr>
      </w:pPr>
    </w:p>
    <w:p w14:paraId="72F9DDAD" w14:textId="77777777" w:rsidR="00765120" w:rsidRDefault="00A37D49">
      <w:pPr>
        <w:pStyle w:val="Default"/>
        <w:jc w:val="center"/>
        <w:rPr>
          <w:rFonts w:ascii="Calibri" w:hAnsi="Calibri" w:cs="Times New Roman"/>
          <w:b/>
          <w:bCs/>
        </w:rPr>
      </w:pPr>
      <w:r>
        <w:rPr>
          <w:rFonts w:ascii="Calibri" w:hAnsi="Calibri" w:cs="Times New Roman"/>
          <w:b/>
          <w:bCs/>
        </w:rPr>
        <w:t xml:space="preserve">Dichiarazione sostitutiva cause di esclusione di cui all'art. 94 del D. Lgs. n. 36/2023 </w:t>
      </w:r>
    </w:p>
    <w:p w14:paraId="76BA25F0" w14:textId="77777777" w:rsidR="00765120" w:rsidRDefault="00765120">
      <w:pPr>
        <w:pStyle w:val="Default"/>
        <w:jc w:val="both"/>
        <w:rPr>
          <w:rFonts w:ascii="Calibri" w:hAnsi="Calibri"/>
        </w:rPr>
      </w:pPr>
    </w:p>
    <w:p w14:paraId="5E4E5E33" w14:textId="77777777" w:rsidR="00765120" w:rsidRDefault="00A37D49">
      <w:pPr>
        <w:pStyle w:val="Default"/>
        <w:jc w:val="center"/>
      </w:pPr>
      <w:r>
        <w:rPr>
          <w:rFonts w:ascii="Calibri" w:hAnsi="Calibri" w:cs="Times New Roman"/>
          <w:b/>
          <w:bCs/>
          <w:sz w:val="22"/>
          <w:szCs w:val="22"/>
        </w:rPr>
        <w:t>DICHIARAZIONE SOSTITUTIVA DELL’ATTO DI NOTORIETÀ</w:t>
      </w:r>
    </w:p>
    <w:p w14:paraId="7F80A7A9" w14:textId="77777777" w:rsidR="00765120" w:rsidRDefault="00A37D49">
      <w:pPr>
        <w:pStyle w:val="Default"/>
        <w:jc w:val="center"/>
      </w:pPr>
      <w:r>
        <w:rPr>
          <w:rFonts w:ascii="Calibri" w:hAnsi="Calibri"/>
          <w:sz w:val="22"/>
          <w:szCs w:val="22"/>
          <w:lang w:val="en-US"/>
        </w:rPr>
        <w:t>(</w:t>
      </w:r>
      <w:r>
        <w:rPr>
          <w:rFonts w:ascii="Calibri" w:hAnsi="Calibri"/>
          <w:i/>
          <w:iCs/>
          <w:sz w:val="22"/>
          <w:szCs w:val="22"/>
          <w:lang w:val="en-US"/>
        </w:rPr>
        <w:t>art. 47 del D.P.R. 28.12.2000, n. 445</w:t>
      </w:r>
      <w:r>
        <w:rPr>
          <w:rFonts w:ascii="Calibri" w:hAnsi="Calibri"/>
          <w:sz w:val="22"/>
          <w:szCs w:val="22"/>
          <w:lang w:val="en-US"/>
        </w:rPr>
        <w:t>)</w:t>
      </w:r>
    </w:p>
    <w:p w14:paraId="05ACF622" w14:textId="77777777" w:rsidR="00765120" w:rsidRDefault="00765120">
      <w:pPr>
        <w:pStyle w:val="Default"/>
        <w:jc w:val="both"/>
        <w:rPr>
          <w:rFonts w:ascii="Calibri" w:hAnsi="Calibri"/>
          <w:sz w:val="22"/>
          <w:szCs w:val="22"/>
          <w:lang w:val="en-US"/>
        </w:rPr>
      </w:pPr>
    </w:p>
    <w:p w14:paraId="576B3404" w14:textId="77777777" w:rsidR="00765120" w:rsidRDefault="00A37D49">
      <w:pPr>
        <w:pStyle w:val="Default"/>
        <w:jc w:val="both"/>
        <w:rPr>
          <w:rFonts w:ascii="Calibri" w:hAnsi="Calibri"/>
          <w:sz w:val="22"/>
          <w:szCs w:val="22"/>
        </w:rPr>
      </w:pPr>
      <w:r>
        <w:rPr>
          <w:rFonts w:ascii="Calibri" w:hAnsi="Calibri"/>
          <w:sz w:val="22"/>
          <w:szCs w:val="22"/>
        </w:rPr>
        <w:t>Il sottoscritto _______________________________________,</w:t>
      </w:r>
    </w:p>
    <w:p w14:paraId="46B76A19" w14:textId="77777777" w:rsidR="00765120" w:rsidRDefault="00A37D49">
      <w:pPr>
        <w:pStyle w:val="Default"/>
        <w:jc w:val="both"/>
        <w:rPr>
          <w:rFonts w:ascii="Calibri" w:hAnsi="Calibri"/>
          <w:sz w:val="22"/>
          <w:szCs w:val="22"/>
        </w:rPr>
      </w:pPr>
      <w:r>
        <w:rPr>
          <w:rFonts w:ascii="Calibri" w:hAnsi="Calibri"/>
          <w:sz w:val="22"/>
          <w:szCs w:val="22"/>
        </w:rPr>
        <w:t>nato a ____________________________________, il _____________________,</w:t>
      </w:r>
    </w:p>
    <w:p w14:paraId="056E2976" w14:textId="77777777" w:rsidR="00765120" w:rsidRDefault="00A37D49">
      <w:pPr>
        <w:pStyle w:val="Default"/>
        <w:jc w:val="both"/>
        <w:rPr>
          <w:rFonts w:ascii="Calibri" w:hAnsi="Calibri"/>
          <w:sz w:val="22"/>
          <w:szCs w:val="22"/>
        </w:rPr>
      </w:pPr>
      <w:r>
        <w:rPr>
          <w:rFonts w:ascii="Calibri" w:hAnsi="Calibri"/>
          <w:sz w:val="22"/>
          <w:szCs w:val="22"/>
        </w:rPr>
        <w:t>residente a ________________________, in Via/Piazza_______________________________,</w:t>
      </w:r>
    </w:p>
    <w:p w14:paraId="6E394851" w14:textId="77777777" w:rsidR="00765120" w:rsidRDefault="00A37D49">
      <w:pPr>
        <w:pStyle w:val="Default"/>
        <w:jc w:val="both"/>
        <w:rPr>
          <w:rFonts w:ascii="Calibri" w:hAnsi="Calibri"/>
          <w:sz w:val="22"/>
          <w:szCs w:val="22"/>
        </w:rPr>
      </w:pPr>
      <w:r>
        <w:rPr>
          <w:rFonts w:ascii="Calibri" w:hAnsi="Calibri"/>
          <w:sz w:val="22"/>
          <w:szCs w:val="22"/>
        </w:rPr>
        <w:t>nella sua qualità di _____________________________ e legale rappresentante dello Studio/Società/Libero-Professionista ________________________, con sede legale in_____________________________, Via/Piazza_________________________, C.F._____________________, P.IVA n._________________</w:t>
      </w:r>
    </w:p>
    <w:p w14:paraId="26982AF6" w14:textId="77777777" w:rsidR="00765120" w:rsidRDefault="00765120">
      <w:pPr>
        <w:pStyle w:val="Default"/>
        <w:jc w:val="both"/>
        <w:rPr>
          <w:rFonts w:ascii="Calibri" w:hAnsi="Calibri"/>
          <w:i/>
          <w:iCs/>
          <w:sz w:val="18"/>
          <w:szCs w:val="18"/>
        </w:rPr>
      </w:pPr>
    </w:p>
    <w:p w14:paraId="36B4E99F" w14:textId="77777777" w:rsidR="00765120" w:rsidRDefault="00A37D49">
      <w:pPr>
        <w:pStyle w:val="Default"/>
        <w:jc w:val="both"/>
        <w:rPr>
          <w:rFonts w:ascii="Calibri" w:hAnsi="Calibri"/>
          <w:b/>
          <w:bCs/>
          <w:sz w:val="22"/>
          <w:szCs w:val="22"/>
        </w:rPr>
      </w:pPr>
      <w:r>
        <w:rPr>
          <w:rFonts w:ascii="Calibri" w:hAnsi="Calibri"/>
          <w:b/>
          <w:bCs/>
          <w:sz w:val="22"/>
          <w:szCs w:val="22"/>
        </w:rPr>
        <w:t>consapevole delle sanzioni penali previste dall’art. 76 del D.P.R. 28/12/2000, n. 445, nel caso di dichiarazioni mendaci, esibizione di atti falsi o contenenti dati non più corrispondenti al vero</w:t>
      </w:r>
    </w:p>
    <w:p w14:paraId="557352D3" w14:textId="77777777" w:rsidR="00765120" w:rsidRDefault="00765120">
      <w:pPr>
        <w:pStyle w:val="Default"/>
        <w:jc w:val="both"/>
        <w:rPr>
          <w:rFonts w:ascii="Calibri" w:hAnsi="Calibri"/>
          <w:b/>
          <w:bCs/>
          <w:sz w:val="18"/>
          <w:szCs w:val="18"/>
        </w:rPr>
      </w:pPr>
    </w:p>
    <w:p w14:paraId="443D4F3B" w14:textId="77777777" w:rsidR="00765120" w:rsidRDefault="00A37D49">
      <w:pPr>
        <w:pStyle w:val="Default"/>
        <w:jc w:val="center"/>
        <w:rPr>
          <w:rFonts w:ascii="Calibri" w:hAnsi="Calibri"/>
          <w:b/>
          <w:bCs/>
          <w:sz w:val="22"/>
          <w:szCs w:val="22"/>
        </w:rPr>
      </w:pPr>
      <w:r>
        <w:rPr>
          <w:rFonts w:ascii="Calibri" w:hAnsi="Calibri"/>
          <w:b/>
          <w:bCs/>
          <w:sz w:val="22"/>
          <w:szCs w:val="22"/>
        </w:rPr>
        <w:t>DICHIARA</w:t>
      </w:r>
    </w:p>
    <w:p w14:paraId="7F155775" w14:textId="77777777" w:rsidR="00765120" w:rsidRDefault="00765120">
      <w:pPr>
        <w:pStyle w:val="Default"/>
        <w:jc w:val="both"/>
        <w:rPr>
          <w:rFonts w:ascii="Calibri" w:hAnsi="Calibri"/>
          <w:sz w:val="18"/>
          <w:szCs w:val="18"/>
        </w:rPr>
      </w:pPr>
    </w:p>
    <w:p w14:paraId="70C91937" w14:textId="77777777" w:rsidR="00765120" w:rsidRDefault="00A37D49">
      <w:pPr>
        <w:pStyle w:val="Default"/>
        <w:jc w:val="both"/>
        <w:rPr>
          <w:rFonts w:ascii="Calibri" w:hAnsi="Calibri"/>
          <w:sz w:val="22"/>
          <w:szCs w:val="22"/>
        </w:rPr>
      </w:pPr>
      <w:r>
        <w:rPr>
          <w:rFonts w:ascii="Calibri" w:hAnsi="Calibri"/>
          <w:sz w:val="22"/>
          <w:szCs w:val="22"/>
        </w:rPr>
        <w:t>l’inesistenza delle cause di esclusione dalla partecipazione ad una procedura d’appalto o concessione elencate nell’art. 94 del D.Lgs. n. 36/2023, ed in particolare:</w:t>
      </w:r>
    </w:p>
    <w:p w14:paraId="6DD93A9B" w14:textId="77777777" w:rsidR="00765120" w:rsidRDefault="00765120">
      <w:pPr>
        <w:pStyle w:val="Default"/>
        <w:jc w:val="both"/>
        <w:rPr>
          <w:rFonts w:ascii="Calibri" w:hAnsi="Calibri"/>
          <w:sz w:val="22"/>
          <w:szCs w:val="22"/>
        </w:rPr>
      </w:pPr>
    </w:p>
    <w:p w14:paraId="41AA2E3D" w14:textId="77777777" w:rsidR="00765120" w:rsidRDefault="00A37D49">
      <w:pPr>
        <w:pStyle w:val="Default"/>
        <w:tabs>
          <w:tab w:val="left" w:pos="-95"/>
        </w:tabs>
        <w:jc w:val="both"/>
        <w:rPr>
          <w:rFonts w:ascii="Calibri" w:hAnsi="Calibri"/>
          <w:sz w:val="22"/>
          <w:szCs w:val="22"/>
        </w:rPr>
      </w:pPr>
      <w:r>
        <w:rPr>
          <w:rFonts w:ascii="Calibri" w:hAnsi="Calibri"/>
          <w:sz w:val="22"/>
          <w:szCs w:val="22"/>
        </w:rPr>
        <w:t>1. che nei propri confronti e nei confronti dei soggetti sopra indicati non è stata pronunciata sentenza definitiva di condanna o emesso decreto penale di condanna divenuto irrevocabile per uno dei seguenti reati:</w:t>
      </w:r>
    </w:p>
    <w:p w14:paraId="38BCC396" w14:textId="77777777" w:rsidR="00765120" w:rsidRDefault="00765120">
      <w:pPr>
        <w:pStyle w:val="Default"/>
        <w:tabs>
          <w:tab w:val="left" w:pos="625"/>
        </w:tabs>
        <w:ind w:left="720"/>
        <w:jc w:val="both"/>
        <w:rPr>
          <w:rFonts w:ascii="Calibri" w:hAnsi="Calibri"/>
          <w:sz w:val="22"/>
          <w:szCs w:val="22"/>
        </w:rPr>
      </w:pPr>
    </w:p>
    <w:p w14:paraId="3CA81AC6" w14:textId="77777777" w:rsidR="00765120" w:rsidRDefault="00A37D49">
      <w:pPr>
        <w:pStyle w:val="Default"/>
        <w:spacing w:after="138"/>
        <w:ind w:left="737" w:hanging="397"/>
        <w:jc w:val="both"/>
        <w:rPr>
          <w:rFonts w:ascii="Calibri" w:hAnsi="Calibri"/>
          <w:sz w:val="22"/>
          <w:szCs w:val="22"/>
        </w:rPr>
      </w:pPr>
      <w:r>
        <w:rPr>
          <w:rFonts w:ascii="Calibri" w:hAnsi="Calibri"/>
          <w:sz w:val="22"/>
          <w:szCs w:val="22"/>
        </w:rPr>
        <w:t>a)</w:t>
      </w:r>
      <w:r>
        <w:rPr>
          <w:rFonts w:ascii="Calibri" w:hAnsi="Calibri"/>
          <w:sz w:val="22"/>
          <w:szCs w:val="22"/>
        </w:rPr>
        <w:tab/>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1817EA22" w14:textId="77777777" w:rsidR="00765120" w:rsidRDefault="00A37D49">
      <w:pPr>
        <w:pStyle w:val="Default"/>
        <w:spacing w:after="138"/>
        <w:ind w:left="794" w:hanging="397"/>
        <w:jc w:val="both"/>
        <w:rPr>
          <w:rFonts w:ascii="Calibri" w:hAnsi="Calibri"/>
          <w:sz w:val="22"/>
          <w:szCs w:val="22"/>
        </w:rPr>
      </w:pPr>
      <w:r>
        <w:rPr>
          <w:rFonts w:ascii="Calibri" w:hAnsi="Calibri"/>
          <w:sz w:val="22"/>
          <w:szCs w:val="22"/>
        </w:rPr>
        <w:t>b)</w:t>
      </w:r>
      <w:r>
        <w:rPr>
          <w:rFonts w:ascii="Calibri" w:hAnsi="Calibri"/>
          <w:sz w:val="22"/>
          <w:szCs w:val="22"/>
        </w:rPr>
        <w:tab/>
        <w:t>delitti, consumati o tentati, di cui agli articoli 317, 318, 319, 319-ter, 319-quater, 320, 321, 322, 322-bis, 346-bis, 353, 353-bis, 354, 355 e 356 del codice penale nonché all’articolo 2635 del codice civile;</w:t>
      </w:r>
    </w:p>
    <w:p w14:paraId="687DE9C6" w14:textId="77777777" w:rsidR="00765120" w:rsidRDefault="00A37D49">
      <w:pPr>
        <w:pStyle w:val="Default"/>
        <w:spacing w:after="138"/>
        <w:ind w:left="794" w:hanging="397"/>
        <w:jc w:val="both"/>
      </w:pPr>
      <w:r>
        <w:rPr>
          <w:rFonts w:ascii="Calibri" w:hAnsi="Calibri"/>
          <w:sz w:val="22"/>
          <w:szCs w:val="22"/>
        </w:rPr>
        <w:t>c)     f</w:t>
      </w:r>
      <w:r>
        <w:rPr>
          <w:rFonts w:ascii="Calibri" w:hAnsi="Calibri"/>
        </w:rPr>
        <w:t>alse comunicazioni sociali di cui agli articoli 2621 e 2622 del codice civile</w:t>
      </w:r>
    </w:p>
    <w:p w14:paraId="417E3F73" w14:textId="77777777" w:rsidR="00765120" w:rsidRDefault="00A37D49">
      <w:pPr>
        <w:pStyle w:val="Default"/>
        <w:spacing w:after="138"/>
        <w:ind w:left="794" w:hanging="397"/>
        <w:jc w:val="both"/>
      </w:pPr>
      <w:r>
        <w:rPr>
          <w:rFonts w:ascii="Calibri" w:hAnsi="Calibri"/>
        </w:rPr>
        <w:t xml:space="preserve">d)    frode ai sensi dell’art. 1 della convenzione relativa alla tutela degli interessi finanziari delle Comunità Europee del 26.07.1995; </w:t>
      </w:r>
    </w:p>
    <w:p w14:paraId="2354F58C" w14:textId="77777777" w:rsidR="00765120" w:rsidRDefault="00A37D49">
      <w:pPr>
        <w:pStyle w:val="Default"/>
        <w:spacing w:after="138"/>
        <w:ind w:left="850" w:hanging="397"/>
        <w:jc w:val="both"/>
        <w:rPr>
          <w:rFonts w:ascii="Calibri" w:hAnsi="Calibri"/>
          <w:sz w:val="22"/>
          <w:szCs w:val="22"/>
        </w:rPr>
      </w:pPr>
      <w:r>
        <w:rPr>
          <w:rFonts w:ascii="Calibri" w:hAnsi="Calibri"/>
          <w:sz w:val="22"/>
          <w:szCs w:val="22"/>
        </w:rPr>
        <w:t>e)</w:t>
      </w:r>
      <w:r>
        <w:rPr>
          <w:rFonts w:ascii="Calibri" w:hAnsi="Calibri"/>
          <w:sz w:val="22"/>
          <w:szCs w:val="22"/>
        </w:rPr>
        <w:tab/>
        <w:t>delitti, consumati o tentati, commessi con finalità di terrorismo, anche internazionale, e di eversione dell’ordine costituzionale reati terroristici o reati connessi alle attività terroristiche;</w:t>
      </w:r>
    </w:p>
    <w:p w14:paraId="0D5CBC60" w14:textId="77777777" w:rsidR="00765120" w:rsidRDefault="00A37D49">
      <w:pPr>
        <w:pStyle w:val="Default"/>
        <w:spacing w:after="138"/>
        <w:ind w:left="794" w:hanging="340"/>
        <w:jc w:val="both"/>
        <w:rPr>
          <w:rFonts w:ascii="Calibri" w:hAnsi="Calibri"/>
          <w:sz w:val="22"/>
          <w:szCs w:val="22"/>
        </w:rPr>
      </w:pPr>
      <w:r>
        <w:rPr>
          <w:rFonts w:ascii="Calibri" w:hAnsi="Calibri"/>
          <w:sz w:val="22"/>
          <w:szCs w:val="22"/>
        </w:rPr>
        <w:lastRenderedPageBreak/>
        <w:t>f)</w:t>
      </w:r>
      <w:r>
        <w:rPr>
          <w:rFonts w:ascii="Calibri" w:hAnsi="Calibri"/>
          <w:sz w:val="22"/>
          <w:szCs w:val="22"/>
        </w:rPr>
        <w:tab/>
        <w:t>delitti di cui agli articoli 648-bis, 648-ter e 648-ter.1 del codice penale, riciclaggio di proventi di attività criminose o finanziamento del terrorismo, quali definiti all’articolo 1 del decreto legislativo 22 giugno 2007, n. 109;</w:t>
      </w:r>
    </w:p>
    <w:p w14:paraId="39B37169" w14:textId="77777777" w:rsidR="00765120" w:rsidRDefault="00A37D49">
      <w:pPr>
        <w:pStyle w:val="Default"/>
        <w:spacing w:after="138"/>
        <w:ind w:left="850" w:hanging="397"/>
        <w:jc w:val="both"/>
        <w:rPr>
          <w:rFonts w:ascii="Calibri" w:hAnsi="Calibri"/>
          <w:sz w:val="22"/>
          <w:szCs w:val="22"/>
        </w:rPr>
      </w:pPr>
      <w:r>
        <w:rPr>
          <w:rFonts w:ascii="Calibri" w:hAnsi="Calibri"/>
          <w:sz w:val="22"/>
          <w:szCs w:val="22"/>
        </w:rPr>
        <w:t>g)</w:t>
      </w:r>
      <w:r>
        <w:rPr>
          <w:rFonts w:ascii="Calibri" w:hAnsi="Calibri"/>
          <w:sz w:val="22"/>
          <w:szCs w:val="22"/>
        </w:rPr>
        <w:tab/>
        <w:t>sfruttamento del lavoro minorile e altre forme di tratta di esseri umani definite con il decreto legislativo 4 marzo 2014, n. 24;</w:t>
      </w:r>
    </w:p>
    <w:p w14:paraId="3412AE60" w14:textId="77777777" w:rsidR="00765120" w:rsidRDefault="00A37D49">
      <w:pPr>
        <w:pStyle w:val="Default"/>
        <w:ind w:left="794" w:hanging="340"/>
        <w:jc w:val="both"/>
      </w:pPr>
      <w:r>
        <w:rPr>
          <w:rFonts w:ascii="Calibri" w:hAnsi="Calibri"/>
          <w:sz w:val="22"/>
          <w:szCs w:val="22"/>
        </w:rPr>
        <w:t>h)</w:t>
      </w:r>
      <w:r>
        <w:rPr>
          <w:rFonts w:ascii="Calibri" w:hAnsi="Calibri"/>
          <w:sz w:val="22"/>
          <w:szCs w:val="22"/>
        </w:rPr>
        <w:tab/>
        <w:t>ogni altro delitto da cui derivi, quale pena accessoria, l’incapacità di contrattare con la pubblica amministrazione</w:t>
      </w:r>
      <w:r>
        <w:rPr>
          <w:rStyle w:val="Rimandonotaapidipagina"/>
          <w:rFonts w:ascii="Calibri" w:hAnsi="Calibri"/>
          <w:sz w:val="22"/>
          <w:szCs w:val="22"/>
        </w:rPr>
        <w:footnoteReference w:id="1"/>
      </w:r>
    </w:p>
    <w:p w14:paraId="4BB85B90" w14:textId="77777777" w:rsidR="00765120" w:rsidRDefault="00765120">
      <w:pPr>
        <w:pStyle w:val="Default"/>
        <w:jc w:val="both"/>
        <w:rPr>
          <w:rFonts w:ascii="Calibri" w:hAnsi="Calibri"/>
          <w:sz w:val="22"/>
          <w:szCs w:val="22"/>
        </w:rPr>
      </w:pPr>
    </w:p>
    <w:p w14:paraId="7A9D701C" w14:textId="77777777" w:rsidR="00765120" w:rsidRDefault="00A37D49">
      <w:pPr>
        <w:pStyle w:val="Default"/>
        <w:jc w:val="both"/>
      </w:pPr>
      <w:r>
        <w:rPr>
          <w:rFonts w:ascii="Calibri" w:hAnsi="Calibri"/>
          <w:sz w:val="22"/>
          <w:szCs w:val="22"/>
        </w:rPr>
        <w:t>oppure</w:t>
      </w:r>
    </w:p>
    <w:p w14:paraId="04E2E959" w14:textId="77777777" w:rsidR="00765120" w:rsidRDefault="00765120">
      <w:pPr>
        <w:pStyle w:val="Default"/>
        <w:jc w:val="both"/>
        <w:rPr>
          <w:rFonts w:ascii="Calibri" w:hAnsi="Calibri"/>
        </w:rPr>
      </w:pPr>
    </w:p>
    <w:p w14:paraId="101EA286" w14:textId="77777777" w:rsidR="00765120" w:rsidRDefault="00A37D49">
      <w:pPr>
        <w:pStyle w:val="Default"/>
        <w:jc w:val="both"/>
        <w:rPr>
          <w:rFonts w:ascii="Calibri" w:hAnsi="Calibri"/>
          <w:sz w:val="22"/>
          <w:szCs w:val="22"/>
        </w:rPr>
      </w:pPr>
      <w:r>
        <w:rPr>
          <w:rFonts w:ascii="Calibri" w:hAnsi="Calibri"/>
          <w:sz w:val="22"/>
          <w:szCs w:val="22"/>
        </w:rPr>
        <w:t>di aver riportato le seguenti condanne: (indicare il/i soggetto/i specificando ruolo, imputazione, condanna)</w:t>
      </w:r>
    </w:p>
    <w:p w14:paraId="024DA216" w14:textId="77777777" w:rsidR="00765120" w:rsidRDefault="00A37D49">
      <w:pPr>
        <w:pStyle w:val="Default"/>
        <w:jc w:val="both"/>
        <w:rPr>
          <w:rFonts w:ascii="Calibri" w:hAnsi="Calibri"/>
          <w:sz w:val="22"/>
          <w:szCs w:val="22"/>
        </w:rPr>
      </w:pPr>
      <w:r>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4FCA54" w14:textId="77777777" w:rsidR="00765120" w:rsidRDefault="00A37D49">
      <w:pPr>
        <w:pStyle w:val="Default"/>
        <w:tabs>
          <w:tab w:val="left" w:pos="742"/>
        </w:tabs>
        <w:spacing w:before="100" w:after="137"/>
        <w:jc w:val="both"/>
        <w:rPr>
          <w:rFonts w:ascii="Calibri" w:hAnsi="Calibri"/>
          <w:sz w:val="22"/>
          <w:szCs w:val="22"/>
        </w:rPr>
      </w:pPr>
      <w:r>
        <w:rPr>
          <w:rFonts w:ascii="Calibri" w:hAnsi="Calibri"/>
          <w:sz w:val="22"/>
          <w:szCs w:val="22"/>
        </w:rPr>
        <w:t>2. che non sussiste la causa di decadenza, di sospensione o di divieto previste dall’articolo 67 del decreto legislativo 6 settembre 2011, n. 159 o di un tentativo di infiltrazione mafiosa di cui all’articolo 84, comma 4, del medesimo decreto;</w:t>
      </w:r>
    </w:p>
    <w:p w14:paraId="4B11FC64" w14:textId="77777777" w:rsidR="00765120" w:rsidRDefault="00A37D49">
      <w:pPr>
        <w:pStyle w:val="Default"/>
        <w:spacing w:before="100"/>
        <w:jc w:val="both"/>
      </w:pPr>
      <w:r>
        <w:rPr>
          <w:rFonts w:ascii="Calibri" w:hAnsi="Calibri"/>
          <w:sz w:val="22"/>
          <w:szCs w:val="22"/>
        </w:rPr>
        <w:t>3. che l’operatore economico non ha commesso violazioni gravi, definitivamente accertate, rispetto agli obblighi relativi al pagamento delle imposte e tasse o dei contributi previdenziali, secondo la legislazione italiana o quella dello Stato in cui sono stabiliti</w:t>
      </w:r>
      <w:r>
        <w:rPr>
          <w:rStyle w:val="Rimandonotaapidipagina"/>
          <w:rFonts w:ascii="Calibri" w:hAnsi="Calibri"/>
          <w:sz w:val="22"/>
          <w:szCs w:val="22"/>
        </w:rPr>
        <w:footnoteReference w:id="2"/>
      </w:r>
      <w:r>
        <w:rPr>
          <w:rFonts w:ascii="Calibri" w:hAnsi="Calibri"/>
          <w:sz w:val="14"/>
          <w:szCs w:val="14"/>
        </w:rPr>
        <w:t xml:space="preserve"> </w:t>
      </w:r>
      <w:r>
        <w:rPr>
          <w:rFonts w:ascii="Calibri" w:hAnsi="Calibri"/>
          <w:sz w:val="22"/>
          <w:szCs w:val="22"/>
        </w:rPr>
        <w:t>ed indica all’uopo i seguenti dati:</w:t>
      </w:r>
    </w:p>
    <w:p w14:paraId="0C0C6D43" w14:textId="77777777" w:rsidR="00765120" w:rsidRDefault="00A37D49">
      <w:pPr>
        <w:pStyle w:val="Default"/>
        <w:spacing w:before="100"/>
        <w:ind w:left="397"/>
        <w:jc w:val="both"/>
      </w:pPr>
      <w:r>
        <w:rPr>
          <w:rFonts w:ascii="Calibri" w:eastAsia="Wingdings, Wingdings" w:hAnsi="Calibri" w:cs="Wingdings, Wingdings"/>
          <w:sz w:val="22"/>
          <w:szCs w:val="22"/>
        </w:rPr>
        <w:t></w:t>
      </w:r>
      <w:r>
        <w:rPr>
          <w:rFonts w:ascii="Calibri" w:eastAsia="Wingdings, Wingdings" w:hAnsi="Calibri" w:cs="Wingdings, Wingdings"/>
          <w:sz w:val="22"/>
          <w:szCs w:val="22"/>
        </w:rPr>
        <w:t></w:t>
      </w:r>
      <w:r>
        <w:rPr>
          <w:rFonts w:ascii="Calibri" w:hAnsi="Calibri"/>
          <w:sz w:val="22"/>
          <w:szCs w:val="22"/>
        </w:rPr>
        <w:t>Ufficio Locale dell’Agenzia delle Entrate competente:</w:t>
      </w:r>
    </w:p>
    <w:p w14:paraId="53C84A27" w14:textId="77777777" w:rsidR="00765120" w:rsidRDefault="00A37D49">
      <w:pPr>
        <w:pStyle w:val="Default"/>
        <w:spacing w:before="100"/>
        <w:ind w:left="794"/>
        <w:jc w:val="both"/>
        <w:rPr>
          <w:rFonts w:ascii="Calibri" w:hAnsi="Calibri"/>
          <w:sz w:val="22"/>
          <w:szCs w:val="22"/>
        </w:rPr>
      </w:pPr>
      <w:r>
        <w:rPr>
          <w:rFonts w:ascii="Calibri" w:hAnsi="Calibri"/>
          <w:sz w:val="22"/>
          <w:szCs w:val="22"/>
        </w:rPr>
        <w:t>i. Indirizzo: _______________________________________________________;</w:t>
      </w:r>
    </w:p>
    <w:p w14:paraId="45D19774" w14:textId="77777777" w:rsidR="00765120" w:rsidRDefault="00A37D49">
      <w:pPr>
        <w:pStyle w:val="Default"/>
        <w:spacing w:before="100"/>
        <w:ind w:left="794"/>
        <w:jc w:val="both"/>
        <w:rPr>
          <w:rFonts w:ascii="Calibri" w:hAnsi="Calibri"/>
          <w:sz w:val="22"/>
          <w:szCs w:val="22"/>
        </w:rPr>
      </w:pPr>
      <w:r>
        <w:rPr>
          <w:rFonts w:ascii="Calibri" w:hAnsi="Calibri"/>
          <w:sz w:val="22"/>
          <w:szCs w:val="22"/>
        </w:rPr>
        <w:t>ii. numero di telefono: ______________________________________________;</w:t>
      </w:r>
    </w:p>
    <w:p w14:paraId="14AC1C74" w14:textId="77777777" w:rsidR="00765120" w:rsidRDefault="00A37D49">
      <w:pPr>
        <w:pStyle w:val="Default"/>
        <w:spacing w:before="100"/>
        <w:ind w:left="794"/>
        <w:jc w:val="both"/>
        <w:rPr>
          <w:rFonts w:ascii="Calibri" w:hAnsi="Calibri"/>
          <w:sz w:val="22"/>
          <w:szCs w:val="22"/>
        </w:rPr>
      </w:pPr>
      <w:r>
        <w:rPr>
          <w:rFonts w:ascii="Calibri" w:hAnsi="Calibri"/>
          <w:sz w:val="22"/>
          <w:szCs w:val="22"/>
        </w:rPr>
        <w:lastRenderedPageBreak/>
        <w:t>iii. pec, fax e/o e-mail: ______________________________________________;</w:t>
      </w:r>
    </w:p>
    <w:p w14:paraId="29CC436B" w14:textId="77777777" w:rsidR="00765120" w:rsidRDefault="00A37D49">
      <w:pPr>
        <w:pStyle w:val="Default"/>
        <w:spacing w:before="100"/>
        <w:jc w:val="both"/>
      </w:pPr>
      <w:r>
        <w:rPr>
          <w:rFonts w:ascii="Calibri" w:hAnsi="Calibri"/>
        </w:rPr>
        <w:t>4.   che l’operatore economico non ha commesso gravi violazioni non definitivamente accertate agli    obblighi relativi al pagamento di imposte e tasse o contributi previdenziali</w:t>
      </w:r>
      <w:r>
        <w:rPr>
          <w:rStyle w:val="Rimandonotaapidipagina"/>
          <w:rFonts w:ascii="Calibri" w:hAnsi="Calibri"/>
        </w:rPr>
        <w:footnoteReference w:id="3"/>
      </w:r>
    </w:p>
    <w:p w14:paraId="1C4318F8" w14:textId="77777777" w:rsidR="00765120" w:rsidRDefault="00A37D49">
      <w:pPr>
        <w:pStyle w:val="Default"/>
        <w:tabs>
          <w:tab w:val="left" w:pos="844"/>
        </w:tabs>
        <w:spacing w:before="100" w:after="138"/>
        <w:jc w:val="both"/>
        <w:rPr>
          <w:rFonts w:ascii="Calibri" w:hAnsi="Calibri"/>
          <w:sz w:val="22"/>
          <w:szCs w:val="22"/>
        </w:rPr>
      </w:pPr>
      <w:r>
        <w:rPr>
          <w:rFonts w:ascii="Calibri" w:hAnsi="Calibri"/>
          <w:sz w:val="22"/>
          <w:szCs w:val="22"/>
        </w:rPr>
        <w:t>5.   che l’operatore economico non ha commesso gravi infrazioni debitamente accertate alle norme in materia di salute e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26.02.2014;</w:t>
      </w:r>
    </w:p>
    <w:p w14:paraId="5521A54E" w14:textId="77777777" w:rsidR="00765120" w:rsidRDefault="00A37D49">
      <w:pPr>
        <w:pStyle w:val="Default"/>
        <w:tabs>
          <w:tab w:val="left" w:pos="844"/>
        </w:tabs>
        <w:jc w:val="both"/>
        <w:rPr>
          <w:rFonts w:ascii="Calibri" w:hAnsi="Calibri"/>
          <w:sz w:val="22"/>
          <w:szCs w:val="22"/>
        </w:rPr>
      </w:pPr>
      <w:r>
        <w:rPr>
          <w:rFonts w:ascii="Calibri" w:hAnsi="Calibri"/>
          <w:sz w:val="22"/>
          <w:szCs w:val="22"/>
        </w:rPr>
        <w:t>6.  che l’operatore economico non sia destinatario della sanzione interdittiva di cui all’art. 9, c.2, lettera c), del decreto legislativo 8 giugno 2001, n. 231, o di altra sanzione che comporta il divieto di contrarre con la pubblica amministrazione compresi i provvedimenti interdittivi di cui all’art. 14 del D. Lgs. 9 aprile 2008, n. 81;</w:t>
      </w:r>
    </w:p>
    <w:p w14:paraId="06CF788E" w14:textId="77777777" w:rsidR="00765120" w:rsidRDefault="00765120">
      <w:pPr>
        <w:pStyle w:val="Default"/>
        <w:tabs>
          <w:tab w:val="left" w:pos="844"/>
        </w:tabs>
        <w:jc w:val="both"/>
        <w:rPr>
          <w:rFonts w:ascii="Calibri" w:hAnsi="Calibri"/>
          <w:sz w:val="22"/>
          <w:szCs w:val="22"/>
        </w:rPr>
      </w:pPr>
    </w:p>
    <w:p w14:paraId="6050A38B" w14:textId="77777777" w:rsidR="00765120" w:rsidRDefault="00A37D49">
      <w:pPr>
        <w:pStyle w:val="Default"/>
        <w:jc w:val="both"/>
        <w:rPr>
          <w:rFonts w:ascii="Calibri" w:hAnsi="Calibri"/>
          <w:sz w:val="22"/>
          <w:szCs w:val="22"/>
        </w:rPr>
      </w:pPr>
      <w:r>
        <w:rPr>
          <w:rFonts w:ascii="Calibri" w:hAnsi="Calibri"/>
          <w:sz w:val="22"/>
          <w:szCs w:val="22"/>
        </w:rPr>
        <w:t xml:space="preserve"> 7. che l’operatore economico non sia sottoposto a liquidazione giudiziale o si trova in stato di fallimento, di liquidazione coatta, di concordato preventivo, salvo il caso di concordato con continuità aziendale, o nei cui riguardi non è in corso un procedimento per la dichiarazione di una di tali situazioni, fermo restando quanto previsto dall’articolo 124 del D.Lgs. n. 36/2023;</w:t>
      </w:r>
    </w:p>
    <w:p w14:paraId="109F0209" w14:textId="77777777" w:rsidR="00765120" w:rsidRDefault="00765120">
      <w:pPr>
        <w:pStyle w:val="Default"/>
        <w:ind w:left="-57" w:hanging="454"/>
        <w:jc w:val="both"/>
        <w:rPr>
          <w:rFonts w:ascii="Calibri" w:hAnsi="Calibri"/>
          <w:sz w:val="22"/>
          <w:szCs w:val="22"/>
        </w:rPr>
      </w:pPr>
    </w:p>
    <w:p w14:paraId="3F1DD462" w14:textId="77777777" w:rsidR="00765120" w:rsidRDefault="00A37D49">
      <w:pPr>
        <w:pStyle w:val="Default"/>
        <w:ind w:left="-57" w:hanging="454"/>
        <w:jc w:val="both"/>
      </w:pPr>
      <w:r>
        <w:rPr>
          <w:rFonts w:ascii="Calibri" w:hAnsi="Calibri"/>
          <w:sz w:val="22"/>
          <w:szCs w:val="22"/>
        </w:rPr>
        <w:t xml:space="preserve">          8. che l’operatore economico non si è reso colpevole di gravi illeciti professionali, tali da rendere dubbia la sua integrità o affidabilità</w:t>
      </w:r>
      <w:r>
        <w:rPr>
          <w:rStyle w:val="Rimandonotaapidipagina"/>
          <w:rFonts w:ascii="Calibri" w:hAnsi="Calibri"/>
          <w:sz w:val="22"/>
          <w:szCs w:val="22"/>
        </w:rPr>
        <w:footnoteReference w:id="4"/>
      </w:r>
      <w:r>
        <w:rPr>
          <w:rFonts w:ascii="Calibri" w:hAnsi="Calibri"/>
          <w:sz w:val="22"/>
          <w:szCs w:val="22"/>
        </w:rPr>
        <w:t>;</w:t>
      </w:r>
    </w:p>
    <w:p w14:paraId="76698785" w14:textId="77777777" w:rsidR="00765120" w:rsidRDefault="00765120">
      <w:pPr>
        <w:pStyle w:val="Default"/>
        <w:jc w:val="both"/>
      </w:pPr>
    </w:p>
    <w:p w14:paraId="4980E3F0" w14:textId="77777777" w:rsidR="00765120" w:rsidRDefault="00A37D49">
      <w:pPr>
        <w:pStyle w:val="Default"/>
        <w:ind w:left="-57" w:hanging="397"/>
        <w:jc w:val="both"/>
        <w:rPr>
          <w:sz w:val="22"/>
          <w:szCs w:val="22"/>
        </w:rPr>
      </w:pPr>
      <w:r>
        <w:rPr>
          <w:sz w:val="22"/>
          <w:szCs w:val="22"/>
        </w:rPr>
        <w:t xml:space="preserve">        9. che la propria partecipazione non determina una situazione di conflitto di interesse ai sensi dell’articolo 16 del D. Lgs. n. 36/2023, non diversamente risolvibile;</w:t>
      </w:r>
    </w:p>
    <w:p w14:paraId="70B55A4E" w14:textId="77777777" w:rsidR="00765120" w:rsidRDefault="00A37D49">
      <w:pPr>
        <w:pStyle w:val="Default"/>
        <w:spacing w:before="100"/>
        <w:ind w:left="-57"/>
        <w:jc w:val="both"/>
        <w:rPr>
          <w:sz w:val="22"/>
          <w:szCs w:val="22"/>
        </w:rPr>
      </w:pPr>
      <w:r>
        <w:rPr>
          <w:sz w:val="22"/>
          <w:szCs w:val="22"/>
        </w:rPr>
        <w:t>10.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l’operatore economico ha proceduto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785666A8" w14:textId="77777777" w:rsidR="00765120" w:rsidRDefault="00A37D49">
      <w:pPr>
        <w:pStyle w:val="Default"/>
        <w:spacing w:before="100"/>
        <w:jc w:val="both"/>
        <w:rPr>
          <w:sz w:val="22"/>
          <w:szCs w:val="22"/>
        </w:rPr>
      </w:pPr>
      <w:r>
        <w:rPr>
          <w:sz w:val="22"/>
          <w:szCs w:val="22"/>
        </w:rPr>
        <w:t>11.  che la propria partecipazione non determina una distorsione della concorrenza derivante dal proprio precedente coinvolgimento nella preparazione della procedura d’appalto che non possa essere risolta con misure meno intrusive;</w:t>
      </w:r>
    </w:p>
    <w:p w14:paraId="25AD32D8" w14:textId="77777777" w:rsidR="00765120" w:rsidRDefault="00A37D49">
      <w:pPr>
        <w:pStyle w:val="Default"/>
        <w:spacing w:before="100"/>
        <w:jc w:val="both"/>
        <w:rPr>
          <w:sz w:val="22"/>
          <w:szCs w:val="22"/>
        </w:rPr>
      </w:pPr>
      <w:r>
        <w:rPr>
          <w:sz w:val="22"/>
          <w:szCs w:val="22"/>
        </w:rPr>
        <w:t>12.  che l’operatore economico non è iscritto nel casellario informatico tenuto dall’Osservatorio dell’ANAC per aver presentato false dichiarazioni o falsa documentazione nelle procedure di gara e negli affidamenti di subappalti e/o ai fini del rilascio dell’attestazione di qualificazione, per il periodo durante il quale perdura l’iscrizione;</w:t>
      </w:r>
    </w:p>
    <w:p w14:paraId="00844D08" w14:textId="77777777" w:rsidR="00765120" w:rsidRDefault="00A37D49">
      <w:pPr>
        <w:pStyle w:val="Default"/>
        <w:spacing w:before="100"/>
        <w:jc w:val="both"/>
        <w:rPr>
          <w:sz w:val="22"/>
          <w:szCs w:val="22"/>
        </w:rPr>
      </w:pPr>
      <w:r>
        <w:rPr>
          <w:sz w:val="22"/>
          <w:szCs w:val="22"/>
        </w:rPr>
        <w:t>13. che l’operatore economico non ha violato il divieto di intestazione fiduciaria di cui all’articolo 17 della legge 19 marzo 1990, n. 55;</w:t>
      </w:r>
    </w:p>
    <w:p w14:paraId="6E8BE719" w14:textId="77777777" w:rsidR="00765120" w:rsidRDefault="00A37D49">
      <w:pPr>
        <w:pStyle w:val="Default"/>
        <w:spacing w:before="100"/>
        <w:jc w:val="both"/>
        <w:rPr>
          <w:sz w:val="22"/>
          <w:szCs w:val="22"/>
        </w:rPr>
      </w:pPr>
      <w:r>
        <w:rPr>
          <w:sz w:val="22"/>
          <w:szCs w:val="22"/>
        </w:rPr>
        <w:t>14.  che, ai sensi dell’art. 17 della legge 12.03.1999, n. 68:</w:t>
      </w:r>
    </w:p>
    <w:p w14:paraId="082D96F5" w14:textId="77777777" w:rsidR="00765120" w:rsidRDefault="00A37D49">
      <w:pPr>
        <w:pStyle w:val="Default"/>
        <w:spacing w:before="100"/>
        <w:ind w:left="340" w:hanging="567"/>
        <w:jc w:val="both"/>
        <w:rPr>
          <w:sz w:val="22"/>
          <w:szCs w:val="22"/>
        </w:rPr>
      </w:pPr>
      <w:r>
        <w:rPr>
          <w:sz w:val="22"/>
          <w:szCs w:val="22"/>
        </w:rPr>
        <w:t xml:space="preserve">    (Barrare la casella di interesse)</w:t>
      </w:r>
    </w:p>
    <w:p w14:paraId="5804F12C" w14:textId="77777777" w:rsidR="00765120" w:rsidRDefault="00A37D49">
      <w:pPr>
        <w:pStyle w:val="Default"/>
        <w:spacing w:before="100" w:after="24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l’operatore economico è in regola con le norme che disciplinano il diritto al lavoro dei disabili poiché ha ottemperato alle disposizioni contenute nella Legge 68/99 o __________________(indicare la   Legge Stato estero). Gli adempimenti sono stati eseguiti presso l’Ufficio _________________________di _________________, Via ________________________n. ___________ fax _____________ e-mail _____________________________;</w:t>
      </w:r>
    </w:p>
    <w:p w14:paraId="50A4F95A" w14:textId="77777777" w:rsidR="00765120" w:rsidRDefault="00A37D49">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l’operatore economico non è soggetto agli obblighi di assunzione obbligatoria previsti dalla Legge 68/99 per i seguenti motivi: [indicare i motivi di esenzione]</w:t>
      </w:r>
    </w:p>
    <w:p w14:paraId="63FEDFC3" w14:textId="77777777" w:rsidR="00765120" w:rsidRDefault="00A37D49">
      <w:pPr>
        <w:pStyle w:val="Default"/>
        <w:spacing w:before="100"/>
        <w:ind w:firstLine="170"/>
        <w:jc w:val="both"/>
        <w:rPr>
          <w:sz w:val="22"/>
          <w:szCs w:val="22"/>
        </w:rPr>
      </w:pPr>
      <w:r>
        <w:rPr>
          <w:sz w:val="22"/>
          <w:szCs w:val="22"/>
        </w:rPr>
        <w:t>_________________________________________________________________________</w:t>
      </w:r>
    </w:p>
    <w:p w14:paraId="43DB3586" w14:textId="77777777" w:rsidR="00765120" w:rsidRDefault="00A37D49">
      <w:pPr>
        <w:pStyle w:val="Default"/>
        <w:spacing w:before="100"/>
        <w:jc w:val="both"/>
      </w:pPr>
      <w:r>
        <w:rPr>
          <w:rFonts w:ascii="Wingdings, Wingdings" w:eastAsia="Wingdings, Wingdings" w:hAnsi="Wingdings, Wingdings" w:cs="Wingdings, Wingdings"/>
          <w:sz w:val="16"/>
          <w:szCs w:val="16"/>
        </w:rPr>
        <w:lastRenderedPageBreak/>
        <w:t></w:t>
      </w:r>
      <w:r>
        <w:rPr>
          <w:rFonts w:ascii="Wingdings, Wingdings" w:eastAsia="Wingdings, Wingdings" w:hAnsi="Wingdings, Wingdings" w:cs="Wingdings, Wingdings"/>
          <w:sz w:val="16"/>
          <w:szCs w:val="16"/>
        </w:rPr>
        <w:t></w:t>
      </w:r>
      <w:r>
        <w:rPr>
          <w:sz w:val="22"/>
          <w:szCs w:val="22"/>
        </w:rPr>
        <w:t>in _____________________(Stato estero) non esiste una normativa sull’assunzione obbligatoria dei disabili;</w:t>
      </w:r>
    </w:p>
    <w:p w14:paraId="4BA12EEB" w14:textId="77777777" w:rsidR="00765120" w:rsidRDefault="00A37D49">
      <w:pPr>
        <w:pStyle w:val="Default"/>
        <w:spacing w:before="100"/>
        <w:jc w:val="both"/>
      </w:pPr>
      <w:r>
        <w:rPr>
          <w:sz w:val="22"/>
          <w:szCs w:val="22"/>
        </w:rPr>
        <w:t>15.  che l’operatore economico:</w:t>
      </w:r>
    </w:p>
    <w:p w14:paraId="0191D407" w14:textId="77777777" w:rsidR="00765120" w:rsidRDefault="00A37D49">
      <w:pPr>
        <w:pStyle w:val="Default"/>
        <w:spacing w:before="100" w:after="12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non è stato vittima dei reati previsti e puniti dagli artt. 317 e 629 c.p., aggravati ai sensi dell’art. 7 del       Decreto Legge 13 maggio 1991, n. 152, convertito, con modificazioni, dalla legge 12 luglio 1991 n. 203.</w:t>
      </w:r>
    </w:p>
    <w:p w14:paraId="527FBE2C" w14:textId="77777777" w:rsidR="00765120" w:rsidRDefault="00A37D49">
      <w:pPr>
        <w:pStyle w:val="Default"/>
        <w:spacing w:before="100" w:after="12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è stato vittima dei suddetti reati, ma ha denunciato i fatti all’autorità giudiziaria;</w:t>
      </w:r>
    </w:p>
    <w:p w14:paraId="09AF8F95" w14:textId="77777777" w:rsidR="00765120" w:rsidRDefault="00A37D49">
      <w:pPr>
        <w:pStyle w:val="Default"/>
        <w:spacing w:before="100" w:after="120"/>
        <w:ind w:right="113"/>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è stato vittima dei reati previsti e puniti dagli artt. 317 e 629 c.p., aggravati ai sensi dell’art. 416-bis del     c .p.   e non ha denunciato i fatti all’autorità giudiziaria, in quanto ricorrono i casi previsti dall’art. 4, 1 comma della Legge 24 novembre 1981, n. 689.</w:t>
      </w:r>
    </w:p>
    <w:p w14:paraId="2F23EDCB" w14:textId="77777777" w:rsidR="00765120" w:rsidRDefault="00A37D49">
      <w:pPr>
        <w:pStyle w:val="Default"/>
        <w:tabs>
          <w:tab w:val="left" w:pos="345"/>
        </w:tabs>
        <w:spacing w:before="100"/>
        <w:jc w:val="both"/>
        <w:rPr>
          <w:sz w:val="22"/>
          <w:szCs w:val="22"/>
        </w:rPr>
      </w:pPr>
      <w:r>
        <w:rPr>
          <w:sz w:val="22"/>
          <w:szCs w:val="22"/>
        </w:rPr>
        <w:t>16. (Barrare la casella di interesse)</w:t>
      </w:r>
    </w:p>
    <w:p w14:paraId="10665419" w14:textId="77777777" w:rsidR="00765120" w:rsidRDefault="00A37D49">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che l’operatore economico non si trova in alcuna situazione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14:paraId="40B50445" w14:textId="77777777" w:rsidR="00765120" w:rsidRDefault="00A37D49">
      <w:pPr>
        <w:pStyle w:val="Default"/>
        <w:spacing w:before="100"/>
        <w:jc w:val="both"/>
        <w:rPr>
          <w:sz w:val="22"/>
          <w:szCs w:val="22"/>
        </w:rPr>
      </w:pPr>
      <w:r>
        <w:rPr>
          <w:sz w:val="22"/>
          <w:szCs w:val="22"/>
        </w:rPr>
        <w:t>Ovvero</w:t>
      </w:r>
    </w:p>
    <w:p w14:paraId="7B71A5F3" w14:textId="77777777" w:rsidR="00765120" w:rsidRDefault="00A37D49">
      <w:pPr>
        <w:pStyle w:val="Default"/>
        <w:spacing w:before="100" w:after="12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che l’operatore economico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14:paraId="51F86824" w14:textId="77777777" w:rsidR="00765120" w:rsidRDefault="00A37D49">
      <w:pPr>
        <w:pStyle w:val="Default"/>
        <w:spacing w:before="100" w:after="120"/>
        <w:jc w:val="both"/>
        <w:rPr>
          <w:sz w:val="22"/>
          <w:szCs w:val="22"/>
        </w:rPr>
      </w:pPr>
      <w:r>
        <w:rPr>
          <w:sz w:val="22"/>
          <w:szCs w:val="22"/>
        </w:rPr>
        <w:t>Ovvero</w:t>
      </w:r>
    </w:p>
    <w:p w14:paraId="41C01980" w14:textId="77777777" w:rsidR="00765120" w:rsidRDefault="00A37D49">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che l’operatore economico è a conoscenza della partecipazione alla medesima procedura di soggetti che si trovano, rispetto ad essa, in una delle situazioni di controllo di cui all'articolo 2359 c.c. o in una qualsiasi relazione, anche di fatto con alcun soggetto, se la situazione di controllo o la relazione comporti che le offerte sono imputabili ad un unico centro decisionale del codice civile, e di aver formulato autonomamente l'offerta.</w:t>
      </w:r>
    </w:p>
    <w:p w14:paraId="019F16F9" w14:textId="77777777" w:rsidR="00765120" w:rsidRDefault="00765120">
      <w:pPr>
        <w:pStyle w:val="Default"/>
        <w:spacing w:before="100"/>
        <w:ind w:firstLine="170"/>
        <w:jc w:val="both"/>
        <w:rPr>
          <w:sz w:val="22"/>
          <w:szCs w:val="22"/>
        </w:rPr>
      </w:pPr>
    </w:p>
    <w:p w14:paraId="4F410F45" w14:textId="77777777" w:rsidR="00765120" w:rsidRDefault="00A37D49">
      <w:pPr>
        <w:pStyle w:val="Default"/>
        <w:spacing w:before="100"/>
        <w:jc w:val="both"/>
        <w:rPr>
          <w:sz w:val="22"/>
          <w:szCs w:val="22"/>
        </w:rPr>
      </w:pPr>
      <w:r>
        <w:rPr>
          <w:sz w:val="22"/>
          <w:szCs w:val="22"/>
        </w:rPr>
        <w:t>Dichiara di essere informato, ai sensi e per gli effetti di cui all’art. 13 del D. Lgs. 196/03 che i dati personali raccolti saranno trattati, anche con strumenti informatici, esclusivamente nell’ambito del procedimento per il quale la presente dichiarazione viene resa.</w:t>
      </w:r>
    </w:p>
    <w:p w14:paraId="0DF3A87B" w14:textId="77777777" w:rsidR="00765120" w:rsidRDefault="00765120">
      <w:pPr>
        <w:pStyle w:val="Default"/>
        <w:ind w:firstLine="170"/>
        <w:jc w:val="both"/>
        <w:rPr>
          <w:sz w:val="22"/>
          <w:szCs w:val="22"/>
        </w:rPr>
      </w:pPr>
    </w:p>
    <w:p w14:paraId="57933087" w14:textId="77777777" w:rsidR="00765120" w:rsidRDefault="00765120">
      <w:pPr>
        <w:pStyle w:val="Default"/>
        <w:jc w:val="both"/>
        <w:rPr>
          <w:sz w:val="22"/>
          <w:szCs w:val="22"/>
        </w:rPr>
      </w:pPr>
    </w:p>
    <w:p w14:paraId="44B98D93" w14:textId="77777777" w:rsidR="00765120" w:rsidRDefault="00A37D49">
      <w:pPr>
        <w:pStyle w:val="Default"/>
        <w:jc w:val="both"/>
        <w:rPr>
          <w:sz w:val="22"/>
          <w:szCs w:val="22"/>
        </w:rPr>
      </w:pPr>
      <w:r>
        <w:rPr>
          <w:sz w:val="22"/>
          <w:szCs w:val="22"/>
        </w:rPr>
        <w:t>__________________________, lì ________________</w:t>
      </w:r>
    </w:p>
    <w:p w14:paraId="1D7914C6" w14:textId="77777777" w:rsidR="00765120" w:rsidRDefault="00A37D49">
      <w:pPr>
        <w:pStyle w:val="Default"/>
        <w:jc w:val="both"/>
      </w:pPr>
      <w:r>
        <w:rPr>
          <w:sz w:val="22"/>
          <w:szCs w:val="22"/>
        </w:rPr>
        <w:t>luogo (</w:t>
      </w:r>
      <w:r>
        <w:rPr>
          <w:i/>
          <w:iCs/>
          <w:sz w:val="22"/>
          <w:szCs w:val="22"/>
        </w:rPr>
        <w:t>data</w:t>
      </w:r>
      <w:r>
        <w:rPr>
          <w:sz w:val="22"/>
          <w:szCs w:val="22"/>
        </w:rPr>
        <w:t>)</w:t>
      </w:r>
    </w:p>
    <w:p w14:paraId="491EB7A3" w14:textId="77777777" w:rsidR="00765120" w:rsidRDefault="00A37D49">
      <w:pPr>
        <w:pStyle w:val="Default"/>
        <w:jc w:val="both"/>
        <w:rPr>
          <w:sz w:val="22"/>
          <w:szCs w:val="22"/>
        </w:rPr>
      </w:pPr>
      <w:r>
        <w:rPr>
          <w:sz w:val="22"/>
          <w:szCs w:val="22"/>
        </w:rPr>
        <w:t>_______________________</w:t>
      </w:r>
    </w:p>
    <w:p w14:paraId="3A77BB89" w14:textId="77777777" w:rsidR="00765120" w:rsidRDefault="00A37D49">
      <w:pPr>
        <w:pStyle w:val="Default"/>
        <w:jc w:val="both"/>
      </w:pPr>
      <w:r>
        <w:rPr>
          <w:sz w:val="22"/>
          <w:szCs w:val="22"/>
        </w:rPr>
        <w:t>(F</w:t>
      </w:r>
      <w:r>
        <w:rPr>
          <w:i/>
          <w:iCs/>
          <w:sz w:val="22"/>
          <w:szCs w:val="22"/>
        </w:rPr>
        <w:t>irma del dichiarante</w:t>
      </w:r>
      <w:r>
        <w:rPr>
          <w:sz w:val="22"/>
          <w:szCs w:val="22"/>
        </w:rPr>
        <w:t>)</w:t>
      </w:r>
    </w:p>
    <w:p w14:paraId="1E625003" w14:textId="77777777" w:rsidR="00765120" w:rsidRDefault="00765120">
      <w:pPr>
        <w:pStyle w:val="Default"/>
        <w:jc w:val="both"/>
        <w:rPr>
          <w:b/>
          <w:bCs/>
          <w:sz w:val="22"/>
          <w:szCs w:val="22"/>
        </w:rPr>
      </w:pPr>
    </w:p>
    <w:p w14:paraId="3CA44361" w14:textId="77777777" w:rsidR="00765120" w:rsidRDefault="00765120">
      <w:pPr>
        <w:pStyle w:val="Default"/>
        <w:jc w:val="both"/>
        <w:rPr>
          <w:b/>
          <w:bCs/>
          <w:sz w:val="22"/>
          <w:szCs w:val="22"/>
        </w:rPr>
      </w:pPr>
    </w:p>
    <w:p w14:paraId="04B9B43D" w14:textId="77777777" w:rsidR="00765120" w:rsidRDefault="00A37D49">
      <w:pPr>
        <w:pStyle w:val="Default"/>
        <w:jc w:val="both"/>
        <w:rPr>
          <w:b/>
          <w:bCs/>
          <w:sz w:val="22"/>
          <w:szCs w:val="22"/>
        </w:rPr>
      </w:pPr>
      <w:r>
        <w:rPr>
          <w:b/>
          <w:bCs/>
          <w:sz w:val="22"/>
          <w:szCs w:val="22"/>
        </w:rPr>
        <w:t>Allegata fotocopia del documento di riconoscimento</w:t>
      </w:r>
    </w:p>
    <w:p w14:paraId="63442D06" w14:textId="77777777" w:rsidR="00765120" w:rsidRDefault="00765120">
      <w:pPr>
        <w:pStyle w:val="Default"/>
        <w:jc w:val="both"/>
        <w:rPr>
          <w:b/>
          <w:bCs/>
          <w:sz w:val="22"/>
          <w:szCs w:val="22"/>
        </w:rPr>
      </w:pPr>
    </w:p>
    <w:p w14:paraId="4980271B" w14:textId="77777777" w:rsidR="00765120" w:rsidRDefault="00765120">
      <w:pPr>
        <w:widowControl/>
        <w:suppressAutoHyphens w:val="0"/>
        <w:jc w:val="both"/>
        <w:textAlignment w:val="auto"/>
        <w:rPr>
          <w:rFonts w:ascii="Calibri" w:eastAsia="Times New Roman" w:hAnsi="Calibri" w:cs="Times New Roman"/>
          <w:i/>
          <w:iCs/>
          <w:kern w:val="0"/>
          <w:sz w:val="20"/>
          <w:szCs w:val="20"/>
          <w:lang w:val="it-IT" w:eastAsia="it-IT" w:bidi="ar-SA"/>
        </w:rPr>
      </w:pPr>
    </w:p>
    <w:tbl>
      <w:tblPr>
        <w:tblW w:w="10489" w:type="dxa"/>
        <w:tblInd w:w="-416" w:type="dxa"/>
        <w:tblCellMar>
          <w:left w:w="10" w:type="dxa"/>
          <w:right w:w="10" w:type="dxa"/>
        </w:tblCellMar>
        <w:tblLook w:val="0000" w:firstRow="0" w:lastRow="0" w:firstColumn="0" w:lastColumn="0" w:noHBand="0" w:noVBand="0"/>
      </w:tblPr>
      <w:tblGrid>
        <w:gridCol w:w="10489"/>
      </w:tblGrid>
      <w:tr w:rsidR="00765120" w14:paraId="582D1762" w14:textId="77777777">
        <w:tc>
          <w:tcPr>
            <w:tcW w:w="10489" w:type="dxa"/>
            <w:shd w:val="clear" w:color="auto" w:fill="auto"/>
            <w:tcMar>
              <w:top w:w="15" w:type="dxa"/>
              <w:left w:w="15" w:type="dxa"/>
              <w:bottom w:w="15" w:type="dxa"/>
              <w:right w:w="15" w:type="dxa"/>
            </w:tcMar>
            <w:vAlign w:val="center"/>
          </w:tcPr>
          <w:p w14:paraId="54690E2D" w14:textId="77777777" w:rsidR="00765120" w:rsidRDefault="00A37D49">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 xml:space="preserve">Nota: </w:t>
            </w:r>
          </w:p>
          <w:p w14:paraId="5D51A63E" w14:textId="77777777" w:rsidR="00765120" w:rsidRDefault="00A37D49">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Ai sensi dell’art. 96 del D.Lgs. 36/2023, le Stazioni Appaltanti escludono un operatore economico in qualunque momento della procedura d’appalto, qualora risulti che questi si trovi, a causa di atti compiuti od omessi prima o nel corso della procedura, in una delle situazioni che costituiscono causa di esclusione ai sensi degli artt. 94 e 95 del codice dei Contratti Pubblici. L’operatore economico che si trovi in una delle situazioni suddette, ad eccezione dei casi in cui abbia commesso gravi violazioni definitiv</w:t>
            </w:r>
            <w:r>
              <w:rPr>
                <w:rFonts w:ascii="Calibri" w:eastAsia="Times New Roman" w:hAnsi="Calibri" w:cs="Times New Roman"/>
                <w:i/>
                <w:iCs/>
                <w:kern w:val="0"/>
                <w:sz w:val="20"/>
                <w:szCs w:val="20"/>
                <w:lang w:val="it-IT" w:eastAsia="it-IT" w:bidi="ar-SA"/>
              </w:rPr>
              <w:t>a</w:t>
            </w:r>
            <w:r>
              <w:rPr>
                <w:rFonts w:ascii="Calibri" w:eastAsia="Times New Roman" w:hAnsi="Calibri" w:cs="Times New Roman"/>
                <w:i/>
                <w:iCs/>
                <w:kern w:val="0"/>
                <w:sz w:val="20"/>
                <w:szCs w:val="20"/>
                <w:lang w:val="it-IT" w:eastAsia="it-IT" w:bidi="ar-SA"/>
              </w:rPr>
              <w:t>mente accertate ai sensi dell’art. 94, comma 6 e/o non definitivamente accertate ai sensi dell’art. 95, comma 2, non è escluso:</w:t>
            </w:r>
          </w:p>
          <w:p w14:paraId="206386D2" w14:textId="77777777" w:rsidR="00765120" w:rsidRDefault="00A37D49">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lastRenderedPageBreak/>
              <w:t>-se la causa di esclusione si è verificata prima della presentazione dell’offerta, contestualmente all’offerta, la comunichi alla st</w:t>
            </w:r>
            <w:r>
              <w:rPr>
                <w:rFonts w:ascii="Calibri" w:eastAsia="Times New Roman" w:hAnsi="Calibri" w:cs="Times New Roman"/>
                <w:i/>
                <w:iCs/>
                <w:kern w:val="0"/>
                <w:sz w:val="20"/>
                <w:szCs w:val="20"/>
                <w:lang w:val="it-IT" w:eastAsia="it-IT" w:bidi="ar-SA"/>
              </w:rPr>
              <w:t>a</w:t>
            </w:r>
            <w:r>
              <w:rPr>
                <w:rFonts w:ascii="Calibri" w:eastAsia="Times New Roman" w:hAnsi="Calibri" w:cs="Times New Roman"/>
                <w:i/>
                <w:iCs/>
                <w:kern w:val="0"/>
                <w:sz w:val="20"/>
                <w:szCs w:val="20"/>
                <w:lang w:val="it-IT" w:eastAsia="it-IT" w:bidi="ar-SA"/>
              </w:rPr>
              <w:t>zione appaltante e, alternativamente:</w:t>
            </w:r>
          </w:p>
          <w:p w14:paraId="2537E827" w14:textId="77777777" w:rsidR="00765120" w:rsidRDefault="00A37D49">
            <w:pPr>
              <w:pStyle w:val="Paragrafoelenco"/>
              <w:widowControl/>
              <w:numPr>
                <w:ilvl w:val="0"/>
                <w:numId w:val="3"/>
              </w:numPr>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comprovi di avere adottato le misure sufficienti a dimostrare la sua affidabilità;</w:t>
            </w:r>
          </w:p>
          <w:p w14:paraId="6CD1ED0B" w14:textId="77777777" w:rsidR="00765120" w:rsidRDefault="00A37D49">
            <w:pPr>
              <w:pStyle w:val="Paragrafoelenco"/>
              <w:widowControl/>
              <w:numPr>
                <w:ilvl w:val="0"/>
                <w:numId w:val="3"/>
              </w:numPr>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comprovi l’impossibilità di adottare tali misure prima della presentazione dell’offerta, ottemperando e comunicandole successivamente;</w:t>
            </w:r>
          </w:p>
          <w:p w14:paraId="4C7FA6C5" w14:textId="77777777" w:rsidR="00765120" w:rsidRDefault="00A37D49">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 se la causa di esclusione si è verificata successivamente alla presentazione dell’offerta, l’operatore economico adotti e comun</w:t>
            </w:r>
            <w:r>
              <w:rPr>
                <w:rFonts w:ascii="Calibri" w:eastAsia="Times New Roman" w:hAnsi="Calibri" w:cs="Times New Roman"/>
                <w:i/>
                <w:iCs/>
                <w:kern w:val="0"/>
                <w:sz w:val="20"/>
                <w:szCs w:val="20"/>
                <w:lang w:val="it-IT" w:eastAsia="it-IT" w:bidi="ar-SA"/>
              </w:rPr>
              <w:t>i</w:t>
            </w:r>
            <w:r>
              <w:rPr>
                <w:rFonts w:ascii="Calibri" w:eastAsia="Times New Roman" w:hAnsi="Calibri" w:cs="Times New Roman"/>
                <w:i/>
                <w:iCs/>
                <w:kern w:val="0"/>
                <w:sz w:val="20"/>
                <w:szCs w:val="20"/>
                <w:lang w:val="it-IT" w:eastAsia="it-IT" w:bidi="ar-SA"/>
              </w:rPr>
              <w:t>chi le misure sufficienti a dimostrare la sua affidabilità.</w:t>
            </w:r>
          </w:p>
          <w:p w14:paraId="582DC36F" w14:textId="77777777" w:rsidR="00765120" w:rsidRDefault="00A37D49">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Se le misure adottate dall’operatore economico per dimostrare la propria affidabilità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w:t>
            </w:r>
            <w:r>
              <w:rPr>
                <w:rFonts w:ascii="Calibri" w:eastAsia="Times New Roman" w:hAnsi="Calibri" w:cs="Times New Roman"/>
                <w:i/>
                <w:iCs/>
                <w:kern w:val="0"/>
                <w:sz w:val="20"/>
                <w:szCs w:val="20"/>
                <w:lang w:val="it-IT" w:eastAsia="it-IT" w:bidi="ar-SA"/>
              </w:rPr>
              <w:t>a</w:t>
            </w:r>
            <w:r>
              <w:rPr>
                <w:rFonts w:ascii="Calibri" w:eastAsia="Times New Roman" w:hAnsi="Calibri" w:cs="Times New Roman"/>
                <w:i/>
                <w:iCs/>
                <w:kern w:val="0"/>
                <w:sz w:val="20"/>
                <w:szCs w:val="20"/>
                <w:lang w:val="it-IT" w:eastAsia="it-IT" w:bidi="ar-SA"/>
              </w:rPr>
              <w:t>tivo e relativi al personale idonei a prevenire ulteriori reati o illeciti. Le misure adottate dagli operatori economici sono valutate considerando la gravità e le particolari circostanze del reato o dell’illecito, nonché la tempestività della loro assunzione. Se la st</w:t>
            </w:r>
            <w:r>
              <w:rPr>
                <w:rFonts w:ascii="Calibri" w:eastAsia="Times New Roman" w:hAnsi="Calibri" w:cs="Times New Roman"/>
                <w:i/>
                <w:iCs/>
                <w:kern w:val="0"/>
                <w:sz w:val="20"/>
                <w:szCs w:val="20"/>
                <w:lang w:val="it-IT" w:eastAsia="it-IT" w:bidi="ar-SA"/>
              </w:rPr>
              <w:t>a</w:t>
            </w:r>
            <w:r>
              <w:rPr>
                <w:rFonts w:ascii="Calibri" w:eastAsia="Times New Roman" w:hAnsi="Calibri" w:cs="Times New Roman"/>
                <w:i/>
                <w:iCs/>
                <w:kern w:val="0"/>
                <w:sz w:val="20"/>
                <w:szCs w:val="20"/>
                <w:lang w:val="it-IT" w:eastAsia="it-IT" w:bidi="ar-SA"/>
              </w:rPr>
              <w:t>zione appaltante ritiene che le misure siano intempestive o insufficienti, ne comunica le ragioni all’operatore economico. Un op</w:t>
            </w:r>
            <w:r>
              <w:rPr>
                <w:rFonts w:ascii="Calibri" w:eastAsia="Times New Roman" w:hAnsi="Calibri" w:cs="Times New Roman"/>
                <w:i/>
                <w:iCs/>
                <w:kern w:val="0"/>
                <w:sz w:val="20"/>
                <w:szCs w:val="20"/>
                <w:lang w:val="it-IT" w:eastAsia="it-IT" w:bidi="ar-SA"/>
              </w:rPr>
              <w:t>e</w:t>
            </w:r>
            <w:r>
              <w:rPr>
                <w:rFonts w:ascii="Calibri" w:eastAsia="Times New Roman" w:hAnsi="Calibri" w:cs="Times New Roman"/>
                <w:i/>
                <w:iCs/>
                <w:kern w:val="0"/>
                <w:sz w:val="20"/>
                <w:szCs w:val="20"/>
                <w:lang w:val="it-IT" w:eastAsia="it-IT" w:bidi="ar-SA"/>
              </w:rPr>
              <w:t>ratore economico escluso con sentenza definitiva dalla partecipazione alle procedure di appalto o di concessione non può avv</w:t>
            </w:r>
            <w:r>
              <w:rPr>
                <w:rFonts w:ascii="Calibri" w:eastAsia="Times New Roman" w:hAnsi="Calibri" w:cs="Times New Roman"/>
                <w:i/>
                <w:iCs/>
                <w:kern w:val="0"/>
                <w:sz w:val="20"/>
                <w:szCs w:val="20"/>
                <w:lang w:val="it-IT" w:eastAsia="it-IT" w:bidi="ar-SA"/>
              </w:rPr>
              <w:t>a</w:t>
            </w:r>
            <w:r>
              <w:rPr>
                <w:rFonts w:ascii="Calibri" w:eastAsia="Times New Roman" w:hAnsi="Calibri" w:cs="Times New Roman"/>
                <w:i/>
                <w:iCs/>
                <w:kern w:val="0"/>
                <w:sz w:val="20"/>
                <w:szCs w:val="20"/>
                <w:lang w:val="it-IT" w:eastAsia="it-IT" w:bidi="ar-SA"/>
              </w:rPr>
              <w:t>lersi della possibilità sopra descritta nel corso del periodo di esclusione derivante da tale sentenza.</w:t>
            </w:r>
          </w:p>
          <w:p w14:paraId="6EAF5A6E" w14:textId="77777777" w:rsidR="00765120" w:rsidRDefault="00765120">
            <w:pPr>
              <w:widowControl/>
              <w:suppressAutoHyphens w:val="0"/>
              <w:spacing w:before="240" w:after="240"/>
              <w:jc w:val="both"/>
              <w:textAlignment w:val="auto"/>
              <w:rPr>
                <w:rFonts w:ascii="Calibri" w:eastAsia="Times New Roman" w:hAnsi="Calibri" w:cs="Times New Roman"/>
                <w:kern w:val="0"/>
                <w:sz w:val="20"/>
                <w:szCs w:val="20"/>
                <w:lang w:val="it-IT" w:eastAsia="it-IT" w:bidi="ar-SA"/>
              </w:rPr>
            </w:pPr>
          </w:p>
        </w:tc>
      </w:tr>
    </w:tbl>
    <w:p w14:paraId="54E6FA52" w14:textId="77777777" w:rsidR="00765120" w:rsidRDefault="00765120">
      <w:pPr>
        <w:pStyle w:val="Standard"/>
        <w:spacing w:before="240" w:after="240"/>
        <w:jc w:val="both"/>
        <w:rPr>
          <w:sz w:val="20"/>
          <w:szCs w:val="20"/>
          <w:lang w:val="it-IT"/>
        </w:rPr>
      </w:pPr>
    </w:p>
    <w:sectPr w:rsidR="0076512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FB50E" w14:textId="77777777" w:rsidR="006D25EF" w:rsidRDefault="006D25EF">
      <w:r>
        <w:separator/>
      </w:r>
    </w:p>
  </w:endnote>
  <w:endnote w:type="continuationSeparator" w:id="0">
    <w:p w14:paraId="457E75A8" w14:textId="77777777" w:rsidR="006D25EF" w:rsidRDefault="006D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Calibri">
    <w:altName w:val="Calibri"/>
    <w:charset w:val="00"/>
    <w:family w:val="swiss"/>
    <w:pitch w:val="variable"/>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ingdings">
    <w:altName w:val="Wingdings"/>
    <w:charset w:val="02"/>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BF079" w14:textId="77777777" w:rsidR="006D25EF" w:rsidRDefault="006D25EF">
      <w:r>
        <w:rPr>
          <w:color w:val="000000"/>
        </w:rPr>
        <w:separator/>
      </w:r>
    </w:p>
  </w:footnote>
  <w:footnote w:type="continuationSeparator" w:id="0">
    <w:p w14:paraId="26B670BC" w14:textId="77777777" w:rsidR="006D25EF" w:rsidRDefault="006D25EF">
      <w:r>
        <w:continuationSeparator/>
      </w:r>
    </w:p>
  </w:footnote>
  <w:footnote w:id="1">
    <w:p w14:paraId="7AD7D17A" w14:textId="77777777" w:rsidR="00765120" w:rsidRDefault="00A37D49">
      <w:pPr>
        <w:pStyle w:val="NormaleWeb"/>
        <w:jc w:val="both"/>
      </w:pPr>
      <w:r>
        <w:rPr>
          <w:rStyle w:val="Rimandonotaapidipagina"/>
        </w:rPr>
        <w:footnoteRef/>
      </w:r>
      <w:r>
        <w:rPr>
          <w:rFonts w:ascii="Calibri" w:hAnsi="Calibri"/>
          <w:i/>
          <w:iCs/>
          <w:sz w:val="18"/>
          <w:szCs w:val="18"/>
        </w:rPr>
        <w:t xml:space="preserve"> L’esclusione è disposta se la sentenza o il decreto oppure la misura interdittiva ivi indicati sono stati emessi nei confronti</w:t>
      </w:r>
      <w:r>
        <w:t>:</w:t>
      </w:r>
    </w:p>
    <w:p w14:paraId="448C2796" w14:textId="77777777" w:rsidR="00765120" w:rsidRDefault="00A37D49">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dell’operatore economico ai sensi e nei termini di cui al decreto legislativo 8 giugno 2001, n. 231;</w:t>
      </w:r>
    </w:p>
    <w:p w14:paraId="4FD77F7B" w14:textId="77777777" w:rsidR="00765120" w:rsidRDefault="00A37D49">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 titolare o del direttore tecnico, se si tratta di impresa individuale;</w:t>
      </w:r>
    </w:p>
    <w:p w14:paraId="1942714B" w14:textId="77777777" w:rsidR="00765120" w:rsidRDefault="00A37D49">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di un socio amministratore o del direttore tecnico, se si tratta di società in nome collettivo;</w:t>
      </w:r>
    </w:p>
    <w:p w14:paraId="25011B65" w14:textId="77777777" w:rsidR="00765120" w:rsidRDefault="00A37D49">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dei soci accomandatari o del direttore tecnico, se si tratta di società in accomandita semplice;</w:t>
      </w:r>
    </w:p>
    <w:p w14:paraId="3684C0AB" w14:textId="77777777" w:rsidR="00765120" w:rsidRDefault="00A37D49">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dei membri del consiglio di amministrazione cui sia stata conferita la legale rappresentanza, ivi compresi gli institori e i procuratori generali;</w:t>
      </w:r>
    </w:p>
    <w:p w14:paraId="1DE024D5" w14:textId="77777777" w:rsidR="00765120" w:rsidRDefault="00A37D49">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dei componenti degli organi con poteri di direzione o di vigilanza o dei soggetti muniti di poteri di rappresentanza, di dir</w:t>
      </w:r>
      <w:r>
        <w:rPr>
          <w:rFonts w:ascii="Calibri" w:eastAsia="Times New Roman" w:hAnsi="Calibri" w:cs="Times New Roman"/>
          <w:i/>
          <w:iCs/>
          <w:kern w:val="0"/>
          <w:sz w:val="18"/>
          <w:szCs w:val="18"/>
          <w:lang w:val="it-IT" w:eastAsia="it-IT" w:bidi="ar-SA"/>
        </w:rPr>
        <w:t>e</w:t>
      </w:r>
      <w:r>
        <w:rPr>
          <w:rFonts w:ascii="Calibri" w:eastAsia="Times New Roman" w:hAnsi="Calibri" w:cs="Times New Roman"/>
          <w:i/>
          <w:iCs/>
          <w:kern w:val="0"/>
          <w:sz w:val="18"/>
          <w:szCs w:val="18"/>
          <w:lang w:val="it-IT" w:eastAsia="it-IT" w:bidi="ar-SA"/>
        </w:rPr>
        <w:t>zione o di controllo;</w:t>
      </w:r>
    </w:p>
    <w:p w14:paraId="3AF1C882" w14:textId="77777777" w:rsidR="00765120" w:rsidRDefault="00A37D49">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 direttore tecnico o del socio unico;</w:t>
      </w:r>
    </w:p>
    <w:p w14:paraId="68A607DA" w14:textId="77777777" w:rsidR="00765120" w:rsidRDefault="00A37D49">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dell’amministratore di fatto nelle ipotesi di cui alle lettere precedenti.</w:t>
      </w:r>
    </w:p>
    <w:p w14:paraId="4488343A" w14:textId="77777777" w:rsidR="00765120" w:rsidRDefault="00A37D49">
      <w:pPr>
        <w:widowControl/>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Nel caso in cui il socio sia una persona giuridica l’esclusione va disposta se la sentenza o il decreto ovvero la misura interdittiva sono stati emessi nei confronti degli amministratori di quest’ultima.</w:t>
      </w:r>
    </w:p>
  </w:footnote>
  <w:footnote w:id="2">
    <w:p w14:paraId="38485C7A" w14:textId="77777777" w:rsidR="00765120" w:rsidRDefault="00A37D49">
      <w:pPr>
        <w:pStyle w:val="Testonotaapidipagina"/>
        <w:jc w:val="both"/>
      </w:pPr>
      <w:r>
        <w:rPr>
          <w:rStyle w:val="Rimandonotaapidipagina"/>
        </w:rPr>
        <w:footnoteRef/>
      </w:r>
      <w:r>
        <w:rPr>
          <w:rFonts w:ascii="Calibri" w:hAnsi="Calibri"/>
          <w:i/>
          <w:iCs/>
          <w:sz w:val="18"/>
          <w:szCs w:val="18"/>
          <w:lang w:val="it-IT"/>
        </w:rPr>
        <w:t>Costituiscono gravi violazioni quelle che comportano un omesso pagamento di imposte e tasse superiore all’importo di cui all’art. 48-bis, commi 1 e 2-bis, del decreto del Presidente della Repubblica 29 settembre 1973, n. 602. Costituiscono violazioni definitivamente accertate   quelle contenute in sentenze o atti amministrativi in materia contributiva e previdenziale, quelle ostative al rilascio del Documento Unico di Regolarità Contributiva (DURC), di cui al decreto del Ministero del lavoro e delle politiche sociali</w:t>
      </w:r>
    </w:p>
    <w:p w14:paraId="4B109221" w14:textId="77777777" w:rsidR="00765120" w:rsidRDefault="00A37D49">
      <w:pPr>
        <w:pStyle w:val="Testonotaapidipagina"/>
        <w:jc w:val="both"/>
      </w:pPr>
      <w:r>
        <w:rPr>
          <w:rFonts w:ascii="Calibri" w:hAnsi="Calibri"/>
          <w:i/>
          <w:iCs/>
          <w:sz w:val="18"/>
          <w:szCs w:val="18"/>
          <w:lang w:val="it-IT"/>
        </w:rPr>
        <w:t xml:space="preserve">30 gennaio 2015, ovvero delle certificazioni rilasciate dagli enti previdenziali di riferimento non aderenti al sistema dello sportello unico previdenziale. La violazione si considera grave quando comporta l’inottemperanza a un obbligo di pagamento di imposte e tasse per un importo che, con esclusione di sanzioni e interessi, è pari o superiore al 10 per cento del valore dell’appalto, tenuto conto del valore del lotto e dei lotti per cui l’operatore economico concorre. </w:t>
      </w:r>
      <w:r>
        <w:rPr>
          <w:rFonts w:ascii="Calibri" w:hAnsi="Calibri"/>
          <w:i/>
          <w:iCs/>
          <w:sz w:val="18"/>
          <w:szCs w:val="18"/>
          <w:u w:val="single"/>
          <w:lang w:val="it-IT"/>
        </w:rPr>
        <w:t>L’esclusione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55C2E5B6" w14:textId="77777777" w:rsidR="00765120" w:rsidRDefault="00765120">
      <w:pPr>
        <w:pStyle w:val="Testonotaapidipagina"/>
        <w:jc w:val="both"/>
        <w:rPr>
          <w:rFonts w:ascii="Calibri" w:hAnsi="Calibri"/>
          <w:i/>
          <w:iCs/>
          <w:sz w:val="18"/>
          <w:szCs w:val="18"/>
          <w:lang w:val="it-IT"/>
        </w:rPr>
      </w:pPr>
    </w:p>
  </w:footnote>
  <w:footnote w:id="3">
    <w:p w14:paraId="30F35C46" w14:textId="77777777" w:rsidR="00765120" w:rsidRDefault="00A37D49">
      <w:pPr>
        <w:pStyle w:val="Default"/>
        <w:tabs>
          <w:tab w:val="left" w:pos="844"/>
        </w:tabs>
        <w:ind w:hanging="454"/>
        <w:jc w:val="both"/>
      </w:pPr>
      <w:r>
        <w:rPr>
          <w:rStyle w:val="Rimandonotaapidipagina"/>
        </w:rPr>
        <w:footnoteRef/>
      </w:r>
      <w:r>
        <w:rPr>
          <w:rFonts w:ascii="Calibri" w:hAnsi="Calibri" w:cs="Times New Roman"/>
          <w:i/>
          <w:iCs/>
          <w:sz w:val="18"/>
          <w:szCs w:val="18"/>
        </w:rPr>
        <w:t xml:space="preserve">         Costituiscono gravi violazioni quelle che comportano un omesso pagamento di imposte e tasse superiore all’importo di cui all’art. 48-bis, commi 1 e 2-bis, del decreto del Presidente della Repubblica 29 settembre 1973, n. 602. La gravità va in ogni caso valutata anche tenendo conto del valore dell’appalto. L’esclusione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327A527" w14:textId="77777777" w:rsidR="00765120" w:rsidRDefault="00765120">
      <w:pPr>
        <w:pStyle w:val="Testonotaapidipagina"/>
        <w:ind w:left="567"/>
        <w:rPr>
          <w:rFonts w:ascii="Calibri" w:hAnsi="Calibri"/>
          <w:lang w:val="it-IT"/>
        </w:rPr>
      </w:pPr>
    </w:p>
  </w:footnote>
  <w:footnote w:id="4">
    <w:p w14:paraId="22F773BB" w14:textId="77777777" w:rsidR="00765120" w:rsidRDefault="00A37D49">
      <w:pPr>
        <w:pStyle w:val="NormaleWeb"/>
      </w:pPr>
      <w:r>
        <w:rPr>
          <w:rStyle w:val="Rimandonotaapidipagina"/>
        </w:rPr>
        <w:footnoteRef/>
      </w:r>
      <w:r>
        <w:rPr>
          <w:rFonts w:ascii="Calibri" w:hAnsi="Calibri"/>
          <w:i/>
          <w:iCs/>
          <w:sz w:val="18"/>
          <w:szCs w:val="18"/>
        </w:rPr>
        <w:t>Ai sensi del comma 3 dell’art. 98 del D. Lgs. 36/2023 l’illecito professionale si può desumere al verificarsi di almeno uno dei segue</w:t>
      </w:r>
      <w:r>
        <w:rPr>
          <w:rFonts w:ascii="Calibri" w:hAnsi="Calibri"/>
          <w:i/>
          <w:iCs/>
          <w:sz w:val="18"/>
          <w:szCs w:val="18"/>
        </w:rPr>
        <w:t>n</w:t>
      </w:r>
      <w:r>
        <w:rPr>
          <w:rFonts w:ascii="Calibri" w:hAnsi="Calibri"/>
          <w:i/>
          <w:iCs/>
          <w:sz w:val="18"/>
          <w:szCs w:val="18"/>
        </w:rPr>
        <w:t>ti elementi</w:t>
      </w:r>
      <w:r>
        <w:rPr>
          <w:rFonts w:ascii="Calibri" w:hAnsi="Calibri"/>
          <w:sz w:val="18"/>
          <w:szCs w:val="18"/>
        </w:rPr>
        <w:t>:</w:t>
      </w:r>
    </w:p>
    <w:p w14:paraId="0A1F8702" w14:textId="77777777" w:rsidR="00765120" w:rsidRDefault="00A37D49">
      <w:pPr>
        <w:pStyle w:val="NormaleWeb"/>
      </w:pPr>
      <w:r>
        <w:rPr>
          <w:rFonts w:ascii="Calibri" w:hAnsi="Calibri"/>
          <w:i/>
          <w:iCs/>
          <w:sz w:val="18"/>
          <w:szCs w:val="18"/>
        </w:rPr>
        <w:t>a) sanzione esecutiva irrogata dall’Autorità garante della concorrenza e del mercato o da altra autorità di settore, rilevante in rel</w:t>
      </w:r>
      <w:r>
        <w:rPr>
          <w:rFonts w:ascii="Calibri" w:hAnsi="Calibri"/>
          <w:i/>
          <w:iCs/>
          <w:sz w:val="18"/>
          <w:szCs w:val="18"/>
        </w:rPr>
        <w:t>a</w:t>
      </w:r>
      <w:r>
        <w:rPr>
          <w:rFonts w:ascii="Calibri" w:hAnsi="Calibri"/>
          <w:i/>
          <w:iCs/>
          <w:sz w:val="18"/>
          <w:szCs w:val="18"/>
        </w:rPr>
        <w:t>zione all’oggetto specifico dell’appalto;</w:t>
      </w:r>
      <w:r>
        <w:rPr>
          <w:rFonts w:ascii="Calibri" w:hAnsi="Calibri"/>
          <w:i/>
          <w:iCs/>
          <w:sz w:val="18"/>
          <w:szCs w:val="18"/>
        </w:rPr>
        <w:br/>
        <w:t>b) condotta dell'operatore economico che abbia tentato di influenzare indebitamente il processo decisionale della stazione appa</w:t>
      </w:r>
      <w:r>
        <w:rPr>
          <w:rFonts w:ascii="Calibri" w:hAnsi="Calibri"/>
          <w:i/>
          <w:iCs/>
          <w:sz w:val="18"/>
          <w:szCs w:val="18"/>
        </w:rPr>
        <w:t>l</w:t>
      </w:r>
      <w:r>
        <w:rPr>
          <w:rFonts w:ascii="Calibri" w:hAnsi="Calibri"/>
          <w:i/>
          <w:iCs/>
          <w:sz w:val="18"/>
          <w:szCs w:val="18"/>
        </w:rPr>
        <w:t>tante o di ottenere informazioni riservate a proprio vantaggio oppure che abbia fornito, anche per negligenza, informazioni false o fuorvianti suscettibili di influenzare le decisioni sull'esclusione, la selezione o l'aggiudicazione;</w:t>
      </w:r>
      <w:r>
        <w:rPr>
          <w:rFonts w:ascii="Calibri" w:hAnsi="Calibri"/>
          <w:i/>
          <w:iCs/>
          <w:sz w:val="18"/>
          <w:szCs w:val="18"/>
        </w:rPr>
        <w:br/>
        <w:t>c) condotta dell'operatore economico che abbia dimostrato significative o persistenti carenze nell'esecuzione di un precedente co</w:t>
      </w:r>
      <w:r>
        <w:rPr>
          <w:rFonts w:ascii="Calibri" w:hAnsi="Calibri"/>
          <w:i/>
          <w:iCs/>
          <w:sz w:val="18"/>
          <w:szCs w:val="18"/>
        </w:rPr>
        <w:t>n</w:t>
      </w:r>
      <w:r>
        <w:rPr>
          <w:rFonts w:ascii="Calibri" w:hAnsi="Calibri"/>
          <w:i/>
          <w:iCs/>
          <w:sz w:val="18"/>
          <w:szCs w:val="18"/>
        </w:rPr>
        <w:t>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Pr>
          <w:rFonts w:ascii="Calibri" w:hAnsi="Calibri"/>
          <w:i/>
          <w:iCs/>
          <w:sz w:val="18"/>
          <w:szCs w:val="18"/>
        </w:rPr>
        <w:br/>
        <w:t>d) condotta dell'operatore economico che abbia commesso grave inadempimento nei confronti di uno o più subappaltatori;</w:t>
      </w:r>
      <w:r>
        <w:rPr>
          <w:rFonts w:ascii="Calibri" w:hAnsi="Calibri"/>
          <w:i/>
          <w:iCs/>
          <w:sz w:val="18"/>
          <w:szCs w:val="18"/>
        </w:rPr>
        <w:br/>
        <w:t>e) condotta dell'operatore economico che abbia violato il divieto di intestazione fiduciaria di cui all'</w:t>
      </w:r>
      <w:hyperlink r:id="rId1" w:anchor="17" w:history="1">
        <w:r>
          <w:rPr>
            <w:rStyle w:val="Collegamentoipertestuale"/>
            <w:rFonts w:ascii="Calibri" w:hAnsi="Calibri"/>
            <w:i/>
            <w:iCs/>
            <w:color w:val="auto"/>
            <w:sz w:val="18"/>
            <w:szCs w:val="18"/>
            <w:u w:val="none"/>
          </w:rPr>
          <w:t>articolo 17 della legge 19 marzo 1990, n. 55</w:t>
        </w:r>
      </w:hyperlink>
      <w:r>
        <w:rPr>
          <w:rFonts w:ascii="Calibri" w:hAnsi="Calibri"/>
          <w:i/>
          <w:iCs/>
          <w:sz w:val="18"/>
          <w:szCs w:val="18"/>
        </w:rPr>
        <w:t>, laddove la violazione non sia stata rimossa;</w:t>
      </w:r>
      <w:r>
        <w:rPr>
          <w:rFonts w:ascii="Calibri" w:hAnsi="Calibri"/>
          <w:i/>
          <w:iCs/>
          <w:sz w:val="18"/>
          <w:szCs w:val="18"/>
        </w:rPr>
        <w:br/>
        <w:t xml:space="preserve">f) omessa denuncia all'autorità giudiziaria da parte dell'operatore economico persona offesa dei reati previsti e puniti dagli </w:t>
      </w:r>
      <w:hyperlink r:id="rId2" w:anchor="317" w:history="1">
        <w:r>
          <w:rPr>
            <w:rStyle w:val="Collegamentoipertestuale"/>
            <w:rFonts w:ascii="Calibri" w:hAnsi="Calibri"/>
            <w:i/>
            <w:iCs/>
            <w:color w:val="auto"/>
            <w:sz w:val="18"/>
            <w:szCs w:val="18"/>
            <w:u w:val="none"/>
          </w:rPr>
          <w:t>articoli 317</w:t>
        </w:r>
      </w:hyperlink>
      <w:r>
        <w:rPr>
          <w:rFonts w:ascii="Calibri" w:hAnsi="Calibri"/>
          <w:i/>
          <w:iCs/>
          <w:sz w:val="18"/>
          <w:szCs w:val="18"/>
        </w:rPr>
        <w:t xml:space="preserve"> e </w:t>
      </w:r>
      <w:hyperlink r:id="rId3" w:anchor="629" w:history="1">
        <w:r>
          <w:rPr>
            <w:rStyle w:val="Collegamentoipertestuale"/>
            <w:rFonts w:ascii="Calibri" w:hAnsi="Calibri"/>
            <w:i/>
            <w:iCs/>
            <w:color w:val="auto"/>
            <w:sz w:val="18"/>
            <w:szCs w:val="18"/>
            <w:u w:val="none"/>
          </w:rPr>
          <w:t>629 del codice penal</w:t>
        </w:r>
      </w:hyperlink>
      <w:r>
        <w:rPr>
          <w:rFonts w:ascii="Calibri" w:hAnsi="Calibri"/>
          <w:i/>
          <w:iCs/>
          <w:sz w:val="18"/>
          <w:szCs w:val="18"/>
        </w:rPr>
        <w:t>e aggravati ai sensi dell’</w:t>
      </w:r>
      <w:hyperlink r:id="rId4" w:anchor="416-bis.1" w:history="1">
        <w:r>
          <w:rPr>
            <w:rStyle w:val="Collegamentoipertestuale"/>
            <w:rFonts w:ascii="Calibri" w:hAnsi="Calibri"/>
            <w:i/>
            <w:iCs/>
            <w:color w:val="auto"/>
            <w:sz w:val="18"/>
            <w:szCs w:val="18"/>
            <w:u w:val="none"/>
          </w:rPr>
          <w:t>articolo 416-bis.1 del medesimo codice</w:t>
        </w:r>
      </w:hyperlink>
      <w:r>
        <w:rPr>
          <w:rFonts w:ascii="Calibri" w:hAnsi="Calibri"/>
          <w:i/>
          <w:iCs/>
          <w:sz w:val="18"/>
          <w:szCs w:val="18"/>
        </w:rPr>
        <w:t xml:space="preserve"> salvo che ricorrano i casi previsti dall'</w:t>
      </w:r>
      <w:hyperlink r:id="rId5" w:anchor="004" w:history="1">
        <w:r>
          <w:rPr>
            <w:rStyle w:val="Collegamentoipertestuale"/>
            <w:rFonts w:ascii="Calibri" w:hAnsi="Calibri"/>
            <w:i/>
            <w:iCs/>
            <w:color w:val="auto"/>
            <w:sz w:val="18"/>
            <w:szCs w:val="18"/>
            <w:u w:val="none"/>
          </w:rPr>
          <w:t>articolo 4, primo comma, della legge 24 novembre 1981, n. 689</w:t>
        </w:r>
      </w:hyperlink>
      <w:r>
        <w:rPr>
          <w:rFonts w:ascii="Calibri" w:hAnsi="Calibri"/>
          <w:i/>
          <w:iCs/>
          <w:sz w:val="18"/>
          <w:szCs w:val="18"/>
        </w:rPr>
        <w:t>. Tale circostanza deve emergere dagli indizi a base della richi</w:t>
      </w:r>
      <w:r>
        <w:rPr>
          <w:rFonts w:ascii="Calibri" w:hAnsi="Calibri"/>
          <w:i/>
          <w:iCs/>
          <w:sz w:val="18"/>
          <w:szCs w:val="18"/>
        </w:rPr>
        <w:t>e</w:t>
      </w:r>
      <w:r>
        <w:rPr>
          <w:rFonts w:ascii="Calibri" w:hAnsi="Calibri"/>
          <w:i/>
          <w:iCs/>
          <w:sz w:val="18"/>
          <w:szCs w:val="18"/>
        </w:rPr>
        <w:t>sta di rinvio a giudizio formulata nei confronti dell'imputato per i reati di cui al primo periodo nell'anno antecedente alla pubblic</w:t>
      </w:r>
      <w:r>
        <w:rPr>
          <w:rFonts w:ascii="Calibri" w:hAnsi="Calibri"/>
          <w:i/>
          <w:iCs/>
          <w:sz w:val="18"/>
          <w:szCs w:val="18"/>
        </w:rPr>
        <w:t>a</w:t>
      </w:r>
      <w:r>
        <w:rPr>
          <w:rFonts w:ascii="Calibri" w:hAnsi="Calibri"/>
          <w:i/>
          <w:iCs/>
          <w:sz w:val="18"/>
          <w:szCs w:val="18"/>
        </w:rPr>
        <w:t>zione del bando e deve essere comunicata, unitamente alle generalità del soggetto che ha omesso la predetta denuncia, dal proc</w:t>
      </w:r>
      <w:r>
        <w:rPr>
          <w:rFonts w:ascii="Calibri" w:hAnsi="Calibri"/>
          <w:i/>
          <w:iCs/>
          <w:sz w:val="18"/>
          <w:szCs w:val="18"/>
        </w:rPr>
        <w:t>u</w:t>
      </w:r>
      <w:r>
        <w:rPr>
          <w:rFonts w:ascii="Calibri" w:hAnsi="Calibri"/>
          <w:i/>
          <w:iCs/>
          <w:sz w:val="18"/>
          <w:szCs w:val="18"/>
        </w:rPr>
        <w:t>ratore della Repubblica procedente all'ANAC, la quale ne cura la pubblicazione;</w:t>
      </w:r>
      <w:r>
        <w:rPr>
          <w:rFonts w:ascii="Calibri" w:hAnsi="Calibri"/>
          <w:i/>
          <w:iCs/>
          <w:sz w:val="18"/>
          <w:szCs w:val="18"/>
        </w:rPr>
        <w:br/>
        <w:t xml:space="preserve">g) contestata commissione da parte dell’operatore economico, ovvero dei soggetti di cui al </w:t>
      </w:r>
      <w:hyperlink r:id="rId6" w:anchor="094" w:history="1">
        <w:r>
          <w:rPr>
            <w:rStyle w:val="Collegamentoipertestuale"/>
            <w:rFonts w:ascii="Calibri" w:hAnsi="Calibri"/>
            <w:i/>
            <w:iCs/>
            <w:color w:val="auto"/>
            <w:sz w:val="18"/>
            <w:szCs w:val="18"/>
            <w:u w:val="none"/>
          </w:rPr>
          <w:t>comma 3 dell’articolo 94</w:t>
        </w:r>
      </w:hyperlink>
      <w:r>
        <w:rPr>
          <w:rFonts w:ascii="Calibri" w:hAnsi="Calibri"/>
          <w:i/>
          <w:iCs/>
          <w:sz w:val="18"/>
          <w:szCs w:val="18"/>
        </w:rPr>
        <w:t xml:space="preserve"> di taluno dei reati consumati o tentati di cui al </w:t>
      </w:r>
      <w:hyperlink r:id="rId7" w:anchor="094" w:history="1">
        <w:r>
          <w:rPr>
            <w:rStyle w:val="Collegamentoipertestuale"/>
            <w:rFonts w:ascii="Calibri" w:hAnsi="Calibri"/>
            <w:i/>
            <w:iCs/>
            <w:color w:val="auto"/>
            <w:sz w:val="18"/>
            <w:szCs w:val="18"/>
            <w:u w:val="none"/>
          </w:rPr>
          <w:t>comma 1 del medesimo articolo 94;</w:t>
        </w:r>
      </w:hyperlink>
      <w:r>
        <w:rPr>
          <w:rFonts w:ascii="Calibri" w:hAnsi="Calibri"/>
          <w:i/>
          <w:iCs/>
          <w:sz w:val="18"/>
          <w:szCs w:val="18"/>
        </w:rPr>
        <w:br/>
        <w:t xml:space="preserve">h) contestata o accertata commissione, da parte dell’operatore economico oppure dei soggetti di cui al </w:t>
      </w:r>
      <w:hyperlink r:id="rId8" w:anchor="094" w:history="1">
        <w:r>
          <w:rPr>
            <w:rStyle w:val="Collegamentoipertestuale"/>
            <w:rFonts w:ascii="Calibri" w:hAnsi="Calibri"/>
            <w:i/>
            <w:iCs/>
            <w:color w:val="auto"/>
            <w:sz w:val="18"/>
            <w:szCs w:val="18"/>
            <w:u w:val="none"/>
          </w:rPr>
          <w:t>comma 3 dell’articolo 94</w:t>
        </w:r>
      </w:hyperlink>
      <w:r>
        <w:rPr>
          <w:rFonts w:ascii="Calibri" w:hAnsi="Calibri"/>
          <w:i/>
          <w:iCs/>
          <w:sz w:val="18"/>
          <w:szCs w:val="18"/>
        </w:rPr>
        <w:t>, di taluno dei seguenti reati consumati:</w:t>
      </w:r>
    </w:p>
    <w:p w14:paraId="768B1970" w14:textId="77777777" w:rsidR="00765120" w:rsidRDefault="00A37D49">
      <w:pPr>
        <w:pStyle w:val="NormaleWeb"/>
      </w:pPr>
      <w:r>
        <w:rPr>
          <w:rFonts w:ascii="Calibri" w:hAnsi="Calibri"/>
          <w:i/>
          <w:iCs/>
          <w:sz w:val="18"/>
          <w:szCs w:val="18"/>
        </w:rPr>
        <w:t>1) abusivo esercizio di una professione, ai sensi dell’</w:t>
      </w:r>
      <w:hyperlink r:id="rId9" w:anchor="348" w:history="1">
        <w:r>
          <w:rPr>
            <w:rStyle w:val="Collegamentoipertestuale"/>
            <w:rFonts w:ascii="Calibri" w:hAnsi="Calibri"/>
            <w:i/>
            <w:iCs/>
            <w:color w:val="auto"/>
            <w:sz w:val="18"/>
            <w:szCs w:val="18"/>
            <w:u w:val="none"/>
          </w:rPr>
          <w:t>articolo 348 del codice penale</w:t>
        </w:r>
      </w:hyperlink>
      <w:r>
        <w:rPr>
          <w:rFonts w:ascii="Calibri" w:hAnsi="Calibri"/>
          <w:i/>
          <w:iCs/>
          <w:sz w:val="18"/>
          <w:szCs w:val="18"/>
        </w:rPr>
        <w:t>;</w:t>
      </w:r>
      <w:r>
        <w:rPr>
          <w:rFonts w:ascii="Calibri" w:hAnsi="Calibri"/>
          <w:i/>
          <w:iCs/>
          <w:sz w:val="18"/>
          <w:szCs w:val="18"/>
        </w:rPr>
        <w:br/>
        <w:t>2) bancarotta semplice, bancarotta fraudolenta, omessa dichiarazione di beni da comprendere nell’inventario fallimentare o ricorso abusivo al credito, di cui agli articoli 216, 217, 218 e 220 del regio decreto 16 marzo 1942, n. 267;</w:t>
      </w:r>
      <w:r>
        <w:rPr>
          <w:rFonts w:ascii="Calibri" w:hAnsi="Calibri"/>
          <w:i/>
          <w:iCs/>
          <w:sz w:val="18"/>
          <w:szCs w:val="18"/>
        </w:rPr>
        <w:br/>
        <w:t xml:space="preserve">3) i reati tributari ai sensi del decreto legislativo 10 marzo 2000, n. 74, i delitti societari di cui agli </w:t>
      </w:r>
      <w:hyperlink r:id="rId10" w:anchor="2621" w:history="1">
        <w:r>
          <w:rPr>
            <w:rStyle w:val="Collegamentoipertestuale"/>
            <w:rFonts w:ascii="Calibri" w:hAnsi="Calibri"/>
            <w:i/>
            <w:iCs/>
            <w:color w:val="auto"/>
            <w:sz w:val="18"/>
            <w:szCs w:val="18"/>
            <w:u w:val="none"/>
          </w:rPr>
          <w:t>articoli 2621 e seguenti del codice civile</w:t>
        </w:r>
      </w:hyperlink>
      <w:r>
        <w:rPr>
          <w:rFonts w:ascii="Calibri" w:hAnsi="Calibri"/>
          <w:i/>
          <w:iCs/>
          <w:sz w:val="18"/>
          <w:szCs w:val="18"/>
        </w:rPr>
        <w:t xml:space="preserve"> o i delitti contro l’industria e il commercio di cui agli </w:t>
      </w:r>
      <w:hyperlink r:id="rId11" w:anchor="513" w:history="1">
        <w:r>
          <w:rPr>
            <w:rStyle w:val="Collegamentoipertestuale"/>
            <w:rFonts w:ascii="Calibri" w:hAnsi="Calibri"/>
            <w:i/>
            <w:iCs/>
            <w:color w:val="auto"/>
            <w:sz w:val="18"/>
            <w:szCs w:val="18"/>
            <w:u w:val="none"/>
          </w:rPr>
          <w:t>articoli da 513 a 517 del codice penale</w:t>
        </w:r>
      </w:hyperlink>
      <w:r>
        <w:rPr>
          <w:rFonts w:ascii="Calibri" w:hAnsi="Calibri"/>
          <w:i/>
          <w:iCs/>
          <w:sz w:val="18"/>
          <w:szCs w:val="18"/>
        </w:rPr>
        <w:t>;</w:t>
      </w:r>
      <w:r>
        <w:rPr>
          <w:rFonts w:ascii="Calibri" w:hAnsi="Calibri"/>
          <w:i/>
          <w:iCs/>
          <w:sz w:val="18"/>
          <w:szCs w:val="18"/>
        </w:rPr>
        <w:br/>
        <w:t>4) i reati urbanistici di cui all’</w:t>
      </w:r>
      <w:hyperlink r:id="rId12" w:anchor="044" w:history="1">
        <w:r>
          <w:rPr>
            <w:rStyle w:val="Collegamentoipertestuale"/>
            <w:rFonts w:ascii="Calibri" w:hAnsi="Calibri"/>
            <w:i/>
            <w:iCs/>
            <w:color w:val="auto"/>
            <w:sz w:val="18"/>
            <w:szCs w:val="18"/>
            <w:u w:val="none"/>
          </w:rPr>
          <w:t>articolo 44, comma 1, lettere b) e c), del testo unico delle disposizioni legislative e regolamentari in m</w:t>
        </w:r>
        <w:r>
          <w:rPr>
            <w:rStyle w:val="Collegamentoipertestuale"/>
            <w:rFonts w:ascii="Calibri" w:hAnsi="Calibri"/>
            <w:i/>
            <w:iCs/>
            <w:color w:val="auto"/>
            <w:sz w:val="18"/>
            <w:szCs w:val="18"/>
            <w:u w:val="none"/>
          </w:rPr>
          <w:t>a</w:t>
        </w:r>
        <w:r>
          <w:rPr>
            <w:rStyle w:val="Collegamentoipertestuale"/>
            <w:rFonts w:ascii="Calibri" w:hAnsi="Calibri"/>
            <w:i/>
            <w:iCs/>
            <w:color w:val="auto"/>
            <w:sz w:val="18"/>
            <w:szCs w:val="18"/>
            <w:u w:val="none"/>
          </w:rPr>
          <w:t>teria di edilizia, di cui al decreto del Presidente della Repubblica 6 giugno 2001, n. 380</w:t>
        </w:r>
      </w:hyperlink>
      <w:r>
        <w:rPr>
          <w:rFonts w:ascii="Calibri" w:hAnsi="Calibri"/>
          <w:i/>
          <w:iCs/>
          <w:sz w:val="18"/>
          <w:szCs w:val="18"/>
        </w:rPr>
        <w:t>, con riferimento agli affidamenti aventi ad oggetto lavori o servizi di architettura e ingegneria;</w:t>
      </w:r>
      <w:r>
        <w:rPr>
          <w:rFonts w:ascii="Calibri" w:hAnsi="Calibri"/>
          <w:i/>
          <w:iCs/>
          <w:sz w:val="18"/>
          <w:szCs w:val="18"/>
        </w:rPr>
        <w:br/>
        <w:t xml:space="preserve">5) i reati previsti dal </w:t>
      </w:r>
      <w:hyperlink r:id="rId13" w:history="1">
        <w:r>
          <w:rPr>
            <w:rStyle w:val="Collegamentoipertestuale"/>
            <w:rFonts w:ascii="Calibri" w:hAnsi="Calibri"/>
            <w:i/>
            <w:iCs/>
            <w:color w:val="auto"/>
            <w:sz w:val="18"/>
            <w:szCs w:val="18"/>
            <w:u w:val="none"/>
          </w:rPr>
          <w:t>decreto legislativo 8 giugno 2001, n. 231</w:t>
        </w:r>
      </w:hyperlink>
      <w:r>
        <w:rPr>
          <w:rFonts w:ascii="Calibri" w:hAnsi="Calibri"/>
          <w:i/>
          <w:iCs/>
          <w:sz w:val="18"/>
          <w:szCs w:val="18"/>
        </w:rPr>
        <w:t xml:space="preserve">. </w:t>
      </w:r>
    </w:p>
    <w:p w14:paraId="515BC2FD" w14:textId="77777777" w:rsidR="00765120" w:rsidRDefault="00A37D49">
      <w:pPr>
        <w:pStyle w:val="NormaleWeb"/>
      </w:pPr>
      <w:r>
        <w:rPr>
          <w:rFonts w:ascii="Calibri" w:hAnsi="Calibri"/>
          <w:i/>
          <w:iCs/>
          <w:sz w:val="18"/>
          <w:szCs w:val="18"/>
          <w:u w:val="single"/>
        </w:rPr>
        <w:t>Con riferimento a tali fattispecie di reato, l’esclusione non è disposta e il divieto di aggiudicare non si applica quando:</w:t>
      </w:r>
    </w:p>
    <w:p w14:paraId="485453EE" w14:textId="77777777" w:rsidR="00765120" w:rsidRDefault="00A37D49">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il reato è stato depenalizzato;</w:t>
      </w:r>
    </w:p>
    <w:p w14:paraId="66249A24" w14:textId="77777777" w:rsidR="00765120" w:rsidRDefault="00A37D49">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è intervenuta la riabilitazione;</w:t>
      </w:r>
    </w:p>
    <w:p w14:paraId="253A3843" w14:textId="77777777" w:rsidR="00765120" w:rsidRDefault="00A37D49">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nei casi di condanna a una pena accessoria perpetua, questa è stata dichiarata estinta ai sensi dell’articolo 179, settimo comma, del codice penale;</w:t>
      </w:r>
    </w:p>
    <w:p w14:paraId="458D2C5E" w14:textId="77777777" w:rsidR="00765120" w:rsidRDefault="00A37D49">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il reato è stato dichiarato estinto dopo la condanna;</w:t>
      </w:r>
    </w:p>
    <w:p w14:paraId="53EBFDAB" w14:textId="77777777" w:rsidR="00765120" w:rsidRDefault="00A37D49">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la condanna è stata revocata.</w:t>
      </w:r>
    </w:p>
    <w:p w14:paraId="1F6F7C10" w14:textId="77777777" w:rsidR="00765120" w:rsidRDefault="00765120">
      <w:pPr>
        <w:pStyle w:val="NormaleWeb"/>
        <w:jc w:val="both"/>
      </w:pPr>
    </w:p>
    <w:p w14:paraId="12F73DB8" w14:textId="77777777" w:rsidR="00765120" w:rsidRDefault="00765120">
      <w:pPr>
        <w:pStyle w:val="Testonotaapidipagina"/>
        <w:spacing w:before="100"/>
        <w:jc w:val="both"/>
        <w:rPr>
          <w:lang w:val="it-I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0B27"/>
    <w:multiLevelType w:val="multilevel"/>
    <w:tmpl w:val="F61656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
    <w:nsid w:val="2EB92168"/>
    <w:multiLevelType w:val="multilevel"/>
    <w:tmpl w:val="BA5CC9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
    <w:nsid w:val="5556104F"/>
    <w:multiLevelType w:val="multilevel"/>
    <w:tmpl w:val="B3F2B94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6"/>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765120"/>
    <w:rsid w:val="00123AED"/>
    <w:rsid w:val="005F57C6"/>
    <w:rsid w:val="006D25EF"/>
    <w:rsid w:val="00765120"/>
    <w:rsid w:val="00A37D49"/>
    <w:rsid w:val="00AD27C3"/>
    <w:rsid w:val="00B41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style>
  <w:style w:type="paragraph" w:styleId="Titolo1">
    <w:name w:val="heading 1"/>
    <w:basedOn w:val="Normale"/>
    <w:next w:val="Normale"/>
    <w:link w:val="Titolo1Carattere"/>
    <w:qFormat/>
    <w:rsid w:val="00B419D3"/>
    <w:pPr>
      <w:keepNext/>
      <w:widowControl/>
      <w:tabs>
        <w:tab w:val="left" w:pos="5400"/>
      </w:tabs>
      <w:suppressAutoHyphens w:val="0"/>
      <w:autoSpaceDN/>
      <w:textAlignment w:val="auto"/>
      <w:outlineLvl w:val="0"/>
    </w:pPr>
    <w:rPr>
      <w:rFonts w:ascii="Arial" w:eastAsia="Times New Roman" w:hAnsi="Arial" w:cs="Arial"/>
      <w:b/>
      <w:bCs/>
      <w:kern w:val="0"/>
      <w:sz w:val="32"/>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widowControl/>
      <w:suppressAutoHyphens/>
      <w:autoSpaceDE w:val="0"/>
    </w:pPr>
    <w:rPr>
      <w:rFonts w:ascii="Calibri, Calibri" w:eastAsia="Times New Roman" w:hAnsi="Calibri, Calibri" w:cs="Calibri, Calibri"/>
      <w:color w:val="000000"/>
      <w:lang w:val="it-IT" w:bidi="ar-SA"/>
    </w:rPr>
  </w:style>
  <w:style w:type="character" w:customStyle="1" w:styleId="BulletSymbols">
    <w:name w:val="Bullet Symbols"/>
    <w:rPr>
      <w:rFonts w:ascii="OpenSymbol" w:eastAsia="OpenSymbol" w:hAnsi="OpenSymbol" w:cs="OpenSymbol"/>
    </w:rPr>
  </w:style>
  <w:style w:type="paragraph" w:styleId="Testonotaapidipagina">
    <w:name w:val="footnote text"/>
    <w:basedOn w:val="Normale"/>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styleId="NormaleWeb">
    <w:name w:val="Normal (Web)"/>
    <w:basedOn w:val="Normale"/>
    <w:pPr>
      <w:widowControl/>
      <w:suppressAutoHyphens w:val="0"/>
      <w:spacing w:before="100" w:after="100"/>
      <w:textAlignment w:val="auto"/>
    </w:pPr>
    <w:rPr>
      <w:rFonts w:eastAsia="Times New Roman" w:cs="Times New Roman"/>
      <w:kern w:val="0"/>
      <w:lang w:val="it-IT" w:eastAsia="it-IT" w:bidi="ar-SA"/>
    </w:rPr>
  </w:style>
  <w:style w:type="character" w:styleId="Collegamentoipertestuale">
    <w:name w:val="Hyperlink"/>
    <w:basedOn w:val="Carpredefinitoparagrafo"/>
    <w:rPr>
      <w:color w:val="0000FF"/>
      <w:u w:val="single"/>
    </w:rPr>
  </w:style>
  <w:style w:type="paragraph" w:styleId="Paragrafoelenco">
    <w:name w:val="List Paragraph"/>
    <w:basedOn w:val="Normale"/>
    <w:pPr>
      <w:ind w:left="720"/>
    </w:pPr>
  </w:style>
  <w:style w:type="character" w:customStyle="1" w:styleId="Titolo1Carattere">
    <w:name w:val="Titolo 1 Carattere"/>
    <w:basedOn w:val="Carpredefinitoparagrafo"/>
    <w:link w:val="Titolo1"/>
    <w:rsid w:val="00B419D3"/>
    <w:rPr>
      <w:rFonts w:ascii="Arial" w:eastAsia="Times New Roman" w:hAnsi="Arial" w:cs="Arial"/>
      <w:b/>
      <w:bCs/>
      <w:kern w:val="0"/>
      <w:sz w:val="32"/>
      <w:lang w:val="it-IT" w:eastAsia="it-I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style>
  <w:style w:type="paragraph" w:styleId="Titolo1">
    <w:name w:val="heading 1"/>
    <w:basedOn w:val="Normale"/>
    <w:next w:val="Normale"/>
    <w:link w:val="Titolo1Carattere"/>
    <w:qFormat/>
    <w:rsid w:val="00B419D3"/>
    <w:pPr>
      <w:keepNext/>
      <w:widowControl/>
      <w:tabs>
        <w:tab w:val="left" w:pos="5400"/>
      </w:tabs>
      <w:suppressAutoHyphens w:val="0"/>
      <w:autoSpaceDN/>
      <w:textAlignment w:val="auto"/>
      <w:outlineLvl w:val="0"/>
    </w:pPr>
    <w:rPr>
      <w:rFonts w:ascii="Arial" w:eastAsia="Times New Roman" w:hAnsi="Arial" w:cs="Arial"/>
      <w:b/>
      <w:bCs/>
      <w:kern w:val="0"/>
      <w:sz w:val="32"/>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widowControl/>
      <w:suppressAutoHyphens/>
      <w:autoSpaceDE w:val="0"/>
    </w:pPr>
    <w:rPr>
      <w:rFonts w:ascii="Calibri, Calibri" w:eastAsia="Times New Roman" w:hAnsi="Calibri, Calibri" w:cs="Calibri, Calibri"/>
      <w:color w:val="000000"/>
      <w:lang w:val="it-IT" w:bidi="ar-SA"/>
    </w:rPr>
  </w:style>
  <w:style w:type="character" w:customStyle="1" w:styleId="BulletSymbols">
    <w:name w:val="Bullet Symbols"/>
    <w:rPr>
      <w:rFonts w:ascii="OpenSymbol" w:eastAsia="OpenSymbol" w:hAnsi="OpenSymbol" w:cs="OpenSymbol"/>
    </w:rPr>
  </w:style>
  <w:style w:type="paragraph" w:styleId="Testonotaapidipagina">
    <w:name w:val="footnote text"/>
    <w:basedOn w:val="Normale"/>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styleId="NormaleWeb">
    <w:name w:val="Normal (Web)"/>
    <w:basedOn w:val="Normale"/>
    <w:pPr>
      <w:widowControl/>
      <w:suppressAutoHyphens w:val="0"/>
      <w:spacing w:before="100" w:after="100"/>
      <w:textAlignment w:val="auto"/>
    </w:pPr>
    <w:rPr>
      <w:rFonts w:eastAsia="Times New Roman" w:cs="Times New Roman"/>
      <w:kern w:val="0"/>
      <w:lang w:val="it-IT" w:eastAsia="it-IT" w:bidi="ar-SA"/>
    </w:rPr>
  </w:style>
  <w:style w:type="character" w:styleId="Collegamentoipertestuale">
    <w:name w:val="Hyperlink"/>
    <w:basedOn w:val="Carpredefinitoparagrafo"/>
    <w:rPr>
      <w:color w:val="0000FF"/>
      <w:u w:val="single"/>
    </w:rPr>
  </w:style>
  <w:style w:type="paragraph" w:styleId="Paragrafoelenco">
    <w:name w:val="List Paragraph"/>
    <w:basedOn w:val="Normale"/>
    <w:pPr>
      <w:ind w:left="720"/>
    </w:pPr>
  </w:style>
  <w:style w:type="character" w:customStyle="1" w:styleId="Titolo1Carattere">
    <w:name w:val="Titolo 1 Carattere"/>
    <w:basedOn w:val="Carpredefinitoparagrafo"/>
    <w:link w:val="Titolo1"/>
    <w:rsid w:val="00B419D3"/>
    <w:rPr>
      <w:rFonts w:ascii="Arial" w:eastAsia="Times New Roman" w:hAnsi="Arial" w:cs="Arial"/>
      <w:b/>
      <w:bCs/>
      <w:kern w:val="0"/>
      <w:sz w:val="32"/>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13" Type="http://schemas.openxmlformats.org/officeDocument/2006/relationships/hyperlink" Target="https://www.bosettiegatti.eu/info/norme/statali/2001_0231.htm" TargetMode="External"/><Relationship Id="rId3" Type="http://schemas.openxmlformats.org/officeDocument/2006/relationships/hyperlink" Target="https://www.bosettiegatti.eu/info/norme/statali/codicepenale.htm" TargetMode="External"/><Relationship Id="rId7" Type="http://schemas.openxmlformats.org/officeDocument/2006/relationships/hyperlink" Target="https://www.bosettiegatti.eu/info/norme/statali/2023_0036.htm" TargetMode="External"/><Relationship Id="rId12" Type="http://schemas.openxmlformats.org/officeDocument/2006/relationships/hyperlink" Target="https://www.bosettiegatti.eu/info/norme/statali/2001_0380.htm" TargetMode="External"/><Relationship Id="rId2" Type="http://schemas.openxmlformats.org/officeDocument/2006/relationships/hyperlink" Target="https://www.bosettiegatti.eu/info/norme/statali/codicepenale.htm" TargetMode="External"/><Relationship Id="rId1" Type="http://schemas.openxmlformats.org/officeDocument/2006/relationships/hyperlink" Target="https://www.bosettiegatti.eu/info/norme/statali/1990_0055.htm" TargetMode="External"/><Relationship Id="rId6" Type="http://schemas.openxmlformats.org/officeDocument/2006/relationships/hyperlink" Target="https://www.bosettiegatti.eu/info/norme/statali/2023_0036.htm" TargetMode="External"/><Relationship Id="rId11" Type="http://schemas.openxmlformats.org/officeDocument/2006/relationships/hyperlink" Target="https://www.bosettiegatti.eu/info/norme/statali/codicepenale.htm" TargetMode="External"/><Relationship Id="rId5" Type="http://schemas.openxmlformats.org/officeDocument/2006/relationships/hyperlink" Target="https://www.bosettiegatti.eu/info/norme/statali/1981_0689.htm" TargetMode="External"/><Relationship Id="rId10" Type="http://schemas.openxmlformats.org/officeDocument/2006/relationships/hyperlink" Target="https://www.bosettiegatti.eu/info/norme/statali/codicecivile.htm" TargetMode="External"/><Relationship Id="rId4" Type="http://schemas.openxmlformats.org/officeDocument/2006/relationships/hyperlink" Target="https://www.bosettiegatti.eu/info/norme/statali/codicepenale.htm" TargetMode="External"/><Relationship Id="rId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2047</Words>
  <Characters>11670</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Fodale</dc:creator>
  <cp:lastModifiedBy>comunegioiataurorc@outlook.it</cp:lastModifiedBy>
  <cp:revision>2</cp:revision>
  <dcterms:created xsi:type="dcterms:W3CDTF">2025-11-04T08:05:00Z</dcterms:created>
  <dcterms:modified xsi:type="dcterms:W3CDTF">2025-11-04T08:05:00Z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